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theme/themeOverride3.xml" ContentType="application/vnd.openxmlformats-officedocument.themeOverride+xml"/>
  <Override PartName="/word/charts/chart7.xml" ContentType="application/vnd.openxmlformats-officedocument.drawingml.chart+xml"/>
  <Override PartName="/word/theme/themeOverride4.xml" ContentType="application/vnd.openxmlformats-officedocument.themeOverride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theme/themeOverride5.xml" ContentType="application/vnd.openxmlformats-officedocument.themeOverride+xml"/>
  <Override PartName="/word/drawings/drawing1.xml" ContentType="application/vnd.openxmlformats-officedocument.drawingml.chartshapes+xml"/>
  <Override PartName="/word/charts/chart10.xml" ContentType="application/vnd.openxmlformats-officedocument.drawingml.chart+xml"/>
  <Override PartName="/word/theme/themeOverride6.xml" ContentType="application/vnd.openxmlformats-officedocument.themeOverride+xml"/>
  <Override PartName="/word/charts/chart11.xml" ContentType="application/vnd.openxmlformats-officedocument.drawingml.chart+xml"/>
  <Override PartName="/word/theme/themeOverride7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834" w:rsidRPr="006917FE" w:rsidRDefault="00C86252">
      <w:pPr>
        <w:jc w:val="center"/>
        <w:rPr>
          <w:rFonts w:eastAsia="標楷體"/>
          <w:b/>
          <w:sz w:val="36"/>
        </w:rPr>
      </w:pPr>
      <w:r>
        <w:rPr>
          <w:noProof/>
        </w:rPr>
        <w:drawing>
          <wp:anchor distT="0" distB="0" distL="114300" distR="114300" simplePos="0" relativeHeight="251669503" behindDoc="1" locked="0" layoutInCell="1" allowOverlap="1" wp14:anchorId="08FC448B" wp14:editId="50DE4DF4">
            <wp:simplePos x="0" y="0"/>
            <wp:positionH relativeFrom="column">
              <wp:posOffset>-215265</wp:posOffset>
            </wp:positionH>
            <wp:positionV relativeFrom="paragraph">
              <wp:posOffset>2409190</wp:posOffset>
            </wp:positionV>
            <wp:extent cx="6600421" cy="6534150"/>
            <wp:effectExtent l="0" t="0" r="0" b="0"/>
            <wp:wrapNone/>
            <wp:docPr id="436" name="圖片 10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圖片 10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1">
                          <a:lumMod val="40000"/>
                          <a:lumOff val="60000"/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2060" cy="653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7B9B">
        <w:rPr>
          <w:b/>
          <w:bCs/>
          <w:noProof/>
        </w:rPr>
        <mc:AlternateContent>
          <mc:Choice Requires="wps">
            <w:drawing>
              <wp:anchor distT="0" distB="0" distL="91440" distR="91440" simplePos="0" relativeHeight="251667455" behindDoc="0" locked="0" layoutInCell="1" allowOverlap="1" wp14:anchorId="39F5CCC9" wp14:editId="25BE1A1B">
                <wp:simplePos x="0" y="0"/>
                <wp:positionH relativeFrom="margin">
                  <wp:posOffset>118110</wp:posOffset>
                </wp:positionH>
                <wp:positionV relativeFrom="line">
                  <wp:posOffset>227965</wp:posOffset>
                </wp:positionV>
                <wp:extent cx="6164580" cy="1767840"/>
                <wp:effectExtent l="0" t="0" r="7620" b="0"/>
                <wp:wrapSquare wrapText="bothSides"/>
                <wp:docPr id="42" name="文字方塊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4580" cy="1767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86252" w:rsidRPr="00C86252" w:rsidRDefault="00C86252" w:rsidP="00C86252">
                            <w:pPr>
                              <w:pStyle w:val="af3"/>
                              <w:pBdr>
                                <w:top w:val="single" w:sz="48" w:space="8" w:color="2DA2BF" w:themeColor="accent1"/>
                                <w:bottom w:val="single" w:sz="48" w:space="31" w:color="2DA2BF" w:themeColor="accent1"/>
                              </w:pBdr>
                              <w:spacing w:before="108" w:line="300" w:lineRule="auto"/>
                              <w:ind w:rightChars="-1186" w:right="-2846" w:firstLineChars="850" w:firstLine="3403"/>
                              <w:rPr>
                                <w:b/>
                                <w:i w:val="0"/>
                                <w:color w:val="2DA2BF" w:themeColor="accent1"/>
                                <w:sz w:val="40"/>
                                <w:szCs w:val="40"/>
                              </w:rPr>
                            </w:pPr>
                            <w:r w:rsidRPr="00C86252">
                              <w:rPr>
                                <w:rFonts w:hint="eastAsia"/>
                                <w:b/>
                                <w:i w:val="0"/>
                                <w:sz w:val="40"/>
                                <w:szCs w:val="40"/>
                              </w:rPr>
                              <w:t>伍、社會福利</w:t>
                            </w:r>
                          </w:p>
                          <w:p w:rsidR="00C86252" w:rsidRPr="00A07B9B" w:rsidRDefault="00C86252" w:rsidP="00C86252">
                            <w:pPr>
                              <w:spacing w:before="72"/>
                              <w:ind w:rightChars="-1186" w:right="-2846" w:firstLine="48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             By </w:t>
                            </w:r>
                            <w:r w:rsidRPr="009556C4">
                              <w:rPr>
                                <w:rFonts w:ascii="標楷體" w:eastAsia="標楷體" w:hAnsi="標楷體" w:hint="eastAsia"/>
                              </w:rPr>
                              <w:t>衛生福利部統計處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91440" rIns="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42" o:spid="_x0000_s1026" type="#_x0000_t202" style="position:absolute;left:0;text-align:left;margin-left:9.3pt;margin-top:17.95pt;width:485.4pt;height:139.2pt;z-index:251667455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" filled="f" stroked="f" strokeweight=".5pt">
                <v:textbox inset="0,7.2pt,0,7.2pt">
                  <w:txbxContent>
                    <w:p w:rsidR="00C86252" w:rsidRPr="00C86252" w:rsidRDefault="00C86252" w:rsidP="00C86252">
                      <w:pPr>
                        <w:pStyle w:val="af3"/>
                        <w:pBdr>
                          <w:top w:val="single" w:sz="48" w:space="8" w:color="2DA2BF" w:themeColor="accent1"/>
                          <w:bottom w:val="single" w:sz="48" w:space="31" w:color="2DA2BF" w:themeColor="accent1"/>
                        </w:pBdr>
                        <w:spacing w:before="108" w:line="300" w:lineRule="auto"/>
                        <w:ind w:rightChars="-1186" w:right="-2846" w:firstLineChars="850" w:firstLine="3403"/>
                        <w:rPr>
                          <w:b/>
                          <w:i w:val="0"/>
                          <w:color w:val="2DA2BF" w:themeColor="accent1"/>
                          <w:sz w:val="40"/>
                          <w:szCs w:val="40"/>
                        </w:rPr>
                      </w:pPr>
                      <w:r w:rsidRPr="00C86252">
                        <w:rPr>
                          <w:rFonts w:hint="eastAsia"/>
                          <w:b/>
                          <w:i w:val="0"/>
                          <w:sz w:val="40"/>
                          <w:szCs w:val="40"/>
                        </w:rPr>
                        <w:t>伍、社會福利</w:t>
                      </w:r>
                    </w:p>
                    <w:p w:rsidR="00C86252" w:rsidRPr="00A07B9B" w:rsidRDefault="00C86252" w:rsidP="00C86252">
                      <w:pPr>
                        <w:spacing w:before="72"/>
                        <w:ind w:rightChars="-1186" w:right="-2846" w:firstLine="480"/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                            By </w:t>
                      </w:r>
                      <w:r w:rsidRPr="009556C4">
                        <w:rPr>
                          <w:rFonts w:ascii="標楷體" w:eastAsia="標楷體" w:hAnsi="標楷體" w:hint="eastAsia"/>
                        </w:rPr>
                        <w:t>衛生福利部統計處</w:t>
                      </w:r>
                    </w:p>
                  </w:txbxContent>
                </v:textbox>
                <w10:wrap type="square" anchorx="margin" anchory="line"/>
              </v:shape>
            </w:pict>
          </mc:Fallback>
        </mc:AlternateContent>
      </w:r>
      <w:r w:rsidRPr="006917FE">
        <w:rPr>
          <w:rFonts w:eastAsia="標楷體"/>
          <w:b/>
          <w:sz w:val="36"/>
        </w:rPr>
        <w:t xml:space="preserve"> </w:t>
      </w:r>
    </w:p>
    <w:p w:rsidR="00D559C6" w:rsidRDefault="00D559C6" w:rsidP="00D04065">
      <w:pPr>
        <w:tabs>
          <w:tab w:val="left" w:pos="600"/>
        </w:tabs>
        <w:ind w:rightChars="59" w:right="142"/>
        <w:rPr>
          <w:rFonts w:eastAsia="標楷體"/>
          <w:noProof/>
          <w:sz w:val="28"/>
          <w:szCs w:val="28"/>
        </w:rPr>
      </w:pPr>
    </w:p>
    <w:p w:rsidR="00D559C6" w:rsidRDefault="00D559C6" w:rsidP="00B51259">
      <w:pPr>
        <w:tabs>
          <w:tab w:val="left" w:pos="600"/>
        </w:tabs>
        <w:ind w:rightChars="59" w:right="142"/>
        <w:rPr>
          <w:rFonts w:eastAsia="標楷體"/>
          <w:noProof/>
          <w:sz w:val="28"/>
          <w:szCs w:val="28"/>
        </w:rPr>
      </w:pPr>
    </w:p>
    <w:p w:rsidR="00D04065" w:rsidRDefault="00D04065" w:rsidP="00B51259">
      <w:pPr>
        <w:tabs>
          <w:tab w:val="left" w:pos="600"/>
        </w:tabs>
        <w:ind w:rightChars="59" w:right="142"/>
      </w:pPr>
    </w:p>
    <w:p w:rsidR="00427FB0" w:rsidRPr="00562BD8" w:rsidRDefault="00E81834" w:rsidP="00C86252">
      <w:pPr>
        <w:pStyle w:val="11"/>
        <w:rPr>
          <w:rFonts w:eastAsia="標楷體"/>
          <w:b/>
          <w:noProof/>
          <w:sz w:val="24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78767206" w:history="1">
        <w:r w:rsidR="00427FB0" w:rsidRPr="00562BD8">
          <w:rPr>
            <w:rStyle w:val="a8"/>
            <w:b/>
            <w:noProof/>
            <w:lang w:val="x-none"/>
          </w:rPr>
          <w:t>一</w:t>
        </w:r>
        <w:r w:rsidR="00427FB0" w:rsidRPr="00562BD8">
          <w:rPr>
            <w:rStyle w:val="a8"/>
            <w:b/>
            <w:noProof/>
          </w:rPr>
          <w:t>、社會救助</w:t>
        </w:r>
        <w:r w:rsidR="00C86252" w:rsidRPr="00562BD8">
          <w:rPr>
            <w:rFonts w:eastAsia="標楷體"/>
            <w:b/>
            <w:noProof/>
            <w:webHidden/>
          </w:rPr>
          <w:tab/>
        </w:r>
        <w:r w:rsidR="00562BD8" w:rsidRPr="00562BD8">
          <w:rPr>
            <w:rFonts w:eastAsia="標楷體"/>
            <w:b/>
            <w:noProof/>
            <w:webHidden/>
          </w:rPr>
          <w:t>伍</w:t>
        </w:r>
        <w:r w:rsidR="00562BD8" w:rsidRPr="00562BD8">
          <w:rPr>
            <w:rFonts w:eastAsia="標楷體"/>
            <w:b/>
            <w:noProof/>
            <w:webHidden/>
          </w:rPr>
          <w:t>-</w:t>
        </w:r>
        <w:r w:rsidR="00427FB0" w:rsidRPr="00562BD8">
          <w:rPr>
            <w:rFonts w:eastAsia="標楷體"/>
            <w:b/>
            <w:noProof/>
            <w:webHidden/>
          </w:rPr>
          <w:fldChar w:fldCharType="begin"/>
        </w:r>
        <w:r w:rsidR="00427FB0" w:rsidRPr="00562BD8">
          <w:rPr>
            <w:rFonts w:eastAsia="標楷體"/>
            <w:b/>
            <w:noProof/>
            <w:webHidden/>
          </w:rPr>
          <w:instrText xml:space="preserve"> PAGEREF _Toc378767206 \h </w:instrText>
        </w:r>
        <w:r w:rsidR="00427FB0" w:rsidRPr="00562BD8">
          <w:rPr>
            <w:rFonts w:eastAsia="標楷體"/>
            <w:b/>
            <w:noProof/>
            <w:webHidden/>
          </w:rPr>
        </w:r>
        <w:r w:rsidR="00427FB0" w:rsidRPr="00562BD8">
          <w:rPr>
            <w:rFonts w:eastAsia="標楷體"/>
            <w:b/>
            <w:noProof/>
            <w:webHidden/>
          </w:rPr>
          <w:fldChar w:fldCharType="separate"/>
        </w:r>
        <w:r w:rsidR="000E552F" w:rsidRPr="00562BD8">
          <w:rPr>
            <w:rFonts w:eastAsia="標楷體"/>
            <w:b/>
            <w:noProof/>
            <w:webHidden/>
          </w:rPr>
          <w:t>1</w:t>
        </w:r>
        <w:r w:rsidR="00427FB0" w:rsidRPr="00562BD8">
          <w:rPr>
            <w:rFonts w:eastAsia="標楷體"/>
            <w:b/>
            <w:noProof/>
            <w:webHidden/>
          </w:rPr>
          <w:fldChar w:fldCharType="end"/>
        </w:r>
      </w:hyperlink>
    </w:p>
    <w:p w:rsidR="00427FB0" w:rsidRPr="00562BD8" w:rsidRDefault="003B2DA0" w:rsidP="00562BD8">
      <w:pPr>
        <w:pStyle w:val="21"/>
        <w:tabs>
          <w:tab w:val="clear" w:pos="8647"/>
          <w:tab w:val="left" w:leader="middleDot" w:pos="8224"/>
        </w:tabs>
        <w:ind w:firstLineChars="250" w:firstLine="700"/>
        <w:rPr>
          <w:rFonts w:eastAsia="標楷體"/>
          <w:b/>
          <w:noProof/>
          <w:sz w:val="24"/>
          <w:szCs w:val="22"/>
        </w:rPr>
      </w:pPr>
      <w:hyperlink w:anchor="_Toc378767207" w:history="1">
        <w:r w:rsidR="00427FB0" w:rsidRPr="00562BD8">
          <w:rPr>
            <w:rStyle w:val="a8"/>
            <w:b/>
            <w:noProof/>
          </w:rPr>
          <w:t>(</w:t>
        </w:r>
        <w:r w:rsidR="00427FB0" w:rsidRPr="00562BD8">
          <w:rPr>
            <w:rStyle w:val="a8"/>
            <w:b/>
            <w:noProof/>
          </w:rPr>
          <w:t>一</w:t>
        </w:r>
        <w:r w:rsidR="00427FB0" w:rsidRPr="00562BD8">
          <w:rPr>
            <w:rStyle w:val="a8"/>
            <w:b/>
            <w:noProof/>
          </w:rPr>
          <w:t xml:space="preserve">) </w:t>
        </w:r>
        <w:r w:rsidR="00427FB0" w:rsidRPr="00562BD8">
          <w:rPr>
            <w:rStyle w:val="a8"/>
            <w:b/>
            <w:noProof/>
            <w:lang w:val="x-none"/>
          </w:rPr>
          <w:t>低收入戶及中低收入戶</w:t>
        </w:r>
        <w:r w:rsidR="00C86252" w:rsidRPr="00562BD8">
          <w:rPr>
            <w:rStyle w:val="a8"/>
            <w:b/>
            <w:noProof/>
            <w:lang w:val="x-none"/>
          </w:rPr>
          <w:tab/>
        </w:r>
        <w:r w:rsidR="00562BD8" w:rsidRPr="00562BD8">
          <w:rPr>
            <w:rStyle w:val="a8"/>
            <w:b/>
            <w:noProof/>
            <w:webHidden/>
            <w:lang w:val="x-none"/>
          </w:rPr>
          <w:t>伍</w:t>
        </w:r>
        <w:r w:rsidR="00562BD8" w:rsidRPr="00562BD8">
          <w:rPr>
            <w:rStyle w:val="a8"/>
            <w:b/>
            <w:noProof/>
            <w:webHidden/>
            <w:lang w:val="x-none"/>
          </w:rPr>
          <w:t>-</w:t>
        </w:r>
        <w:r w:rsidR="00427FB0" w:rsidRPr="00562BD8">
          <w:rPr>
            <w:rFonts w:eastAsia="標楷體"/>
            <w:b/>
            <w:noProof/>
            <w:webHidden/>
          </w:rPr>
          <w:fldChar w:fldCharType="begin"/>
        </w:r>
        <w:r w:rsidR="00427FB0" w:rsidRPr="00562BD8">
          <w:rPr>
            <w:rFonts w:eastAsia="標楷體"/>
            <w:b/>
            <w:noProof/>
            <w:webHidden/>
          </w:rPr>
          <w:instrText xml:space="preserve"> PAGEREF _Toc378767207 \h </w:instrText>
        </w:r>
        <w:r w:rsidR="00427FB0" w:rsidRPr="00562BD8">
          <w:rPr>
            <w:rFonts w:eastAsia="標楷體"/>
            <w:b/>
            <w:noProof/>
            <w:webHidden/>
          </w:rPr>
        </w:r>
        <w:r w:rsidR="00427FB0" w:rsidRPr="00562BD8">
          <w:rPr>
            <w:rFonts w:eastAsia="標楷體"/>
            <w:b/>
            <w:noProof/>
            <w:webHidden/>
          </w:rPr>
          <w:fldChar w:fldCharType="separate"/>
        </w:r>
        <w:r w:rsidR="000E552F" w:rsidRPr="00562BD8">
          <w:rPr>
            <w:rFonts w:eastAsia="標楷體"/>
            <w:b/>
            <w:noProof/>
            <w:webHidden/>
          </w:rPr>
          <w:t>1</w:t>
        </w:r>
        <w:r w:rsidR="00427FB0" w:rsidRPr="00562BD8">
          <w:rPr>
            <w:rFonts w:eastAsia="標楷體"/>
            <w:b/>
            <w:noProof/>
            <w:webHidden/>
          </w:rPr>
          <w:fldChar w:fldCharType="end"/>
        </w:r>
      </w:hyperlink>
    </w:p>
    <w:p w:rsidR="00427FB0" w:rsidRPr="00562BD8" w:rsidRDefault="003B2DA0" w:rsidP="00562BD8">
      <w:pPr>
        <w:pStyle w:val="21"/>
        <w:tabs>
          <w:tab w:val="clear" w:pos="8647"/>
          <w:tab w:val="left" w:leader="middleDot" w:pos="8224"/>
        </w:tabs>
        <w:ind w:firstLineChars="250" w:firstLine="700"/>
        <w:rPr>
          <w:rFonts w:eastAsia="標楷體"/>
          <w:b/>
          <w:noProof/>
          <w:sz w:val="24"/>
          <w:szCs w:val="22"/>
        </w:rPr>
      </w:pPr>
      <w:hyperlink w:anchor="_Toc378767208" w:history="1">
        <w:r w:rsidR="00427FB0" w:rsidRPr="00562BD8">
          <w:rPr>
            <w:rStyle w:val="a8"/>
            <w:b/>
            <w:noProof/>
          </w:rPr>
          <w:t>(</w:t>
        </w:r>
        <w:r w:rsidR="00427FB0" w:rsidRPr="00562BD8">
          <w:rPr>
            <w:rStyle w:val="a8"/>
            <w:b/>
            <w:noProof/>
          </w:rPr>
          <w:t>二</w:t>
        </w:r>
        <w:r w:rsidR="00427FB0" w:rsidRPr="00562BD8">
          <w:rPr>
            <w:rStyle w:val="a8"/>
            <w:b/>
            <w:noProof/>
          </w:rPr>
          <w:t xml:space="preserve">) </w:t>
        </w:r>
        <w:r w:rsidR="00427FB0" w:rsidRPr="00562BD8">
          <w:rPr>
            <w:rStyle w:val="a8"/>
            <w:b/>
            <w:noProof/>
          </w:rPr>
          <w:t>醫療補助、急難及災害救助</w:t>
        </w:r>
        <w:r w:rsidR="00427FB0" w:rsidRPr="00562BD8">
          <w:rPr>
            <w:rFonts w:eastAsia="標楷體"/>
            <w:b/>
            <w:noProof/>
            <w:webHidden/>
          </w:rPr>
          <w:tab/>
        </w:r>
        <w:r w:rsidR="00562BD8" w:rsidRPr="00562BD8">
          <w:rPr>
            <w:rFonts w:eastAsia="標楷體"/>
            <w:b/>
            <w:noProof/>
            <w:webHidden/>
          </w:rPr>
          <w:t>伍</w:t>
        </w:r>
        <w:r w:rsidR="00562BD8" w:rsidRPr="00562BD8">
          <w:rPr>
            <w:rFonts w:eastAsia="標楷體"/>
            <w:b/>
            <w:noProof/>
            <w:webHidden/>
          </w:rPr>
          <w:t>-</w:t>
        </w:r>
        <w:r w:rsidR="00427FB0" w:rsidRPr="00562BD8">
          <w:rPr>
            <w:rFonts w:eastAsia="標楷體"/>
            <w:b/>
            <w:noProof/>
            <w:webHidden/>
          </w:rPr>
          <w:fldChar w:fldCharType="begin"/>
        </w:r>
        <w:r w:rsidR="00427FB0" w:rsidRPr="00562BD8">
          <w:rPr>
            <w:rFonts w:eastAsia="標楷體"/>
            <w:b/>
            <w:noProof/>
            <w:webHidden/>
          </w:rPr>
          <w:instrText xml:space="preserve"> PAGEREF _Toc378767208 \h </w:instrText>
        </w:r>
        <w:r w:rsidR="00427FB0" w:rsidRPr="00562BD8">
          <w:rPr>
            <w:rFonts w:eastAsia="標楷體"/>
            <w:b/>
            <w:noProof/>
            <w:webHidden/>
          </w:rPr>
        </w:r>
        <w:r w:rsidR="00427FB0" w:rsidRPr="00562BD8">
          <w:rPr>
            <w:rFonts w:eastAsia="標楷體"/>
            <w:b/>
            <w:noProof/>
            <w:webHidden/>
          </w:rPr>
          <w:fldChar w:fldCharType="separate"/>
        </w:r>
        <w:r w:rsidR="000E552F" w:rsidRPr="00562BD8">
          <w:rPr>
            <w:rFonts w:eastAsia="標楷體"/>
            <w:b/>
            <w:noProof/>
            <w:webHidden/>
          </w:rPr>
          <w:t>3</w:t>
        </w:r>
        <w:r w:rsidR="00427FB0" w:rsidRPr="00562BD8">
          <w:rPr>
            <w:rFonts w:eastAsia="標楷體"/>
            <w:b/>
            <w:noProof/>
            <w:webHidden/>
          </w:rPr>
          <w:fldChar w:fldCharType="end"/>
        </w:r>
      </w:hyperlink>
    </w:p>
    <w:p w:rsidR="00427FB0" w:rsidRPr="00562BD8" w:rsidRDefault="003B2DA0" w:rsidP="00C86252">
      <w:pPr>
        <w:pStyle w:val="11"/>
        <w:rPr>
          <w:rFonts w:eastAsia="標楷體"/>
          <w:b/>
          <w:noProof/>
          <w:sz w:val="24"/>
          <w:szCs w:val="22"/>
        </w:rPr>
      </w:pPr>
      <w:hyperlink w:anchor="_Toc378767209" w:history="1">
        <w:r w:rsidR="00427FB0" w:rsidRPr="00562BD8">
          <w:rPr>
            <w:rStyle w:val="a8"/>
            <w:b/>
            <w:noProof/>
            <w:lang w:val="x-none"/>
          </w:rPr>
          <w:t>二</w:t>
        </w:r>
        <w:r w:rsidR="00427FB0" w:rsidRPr="00562BD8">
          <w:rPr>
            <w:rStyle w:val="a8"/>
            <w:b/>
            <w:noProof/>
          </w:rPr>
          <w:t>、社會福利</w:t>
        </w:r>
        <w:r w:rsidR="00427FB0" w:rsidRPr="00562BD8">
          <w:rPr>
            <w:rFonts w:eastAsia="標楷體"/>
            <w:b/>
            <w:noProof/>
            <w:webHidden/>
          </w:rPr>
          <w:tab/>
        </w:r>
        <w:r w:rsidR="00562BD8" w:rsidRPr="00562BD8">
          <w:rPr>
            <w:rFonts w:eastAsia="標楷體"/>
            <w:b/>
            <w:noProof/>
            <w:webHidden/>
          </w:rPr>
          <w:t>伍</w:t>
        </w:r>
        <w:r w:rsidR="00562BD8" w:rsidRPr="00562BD8">
          <w:rPr>
            <w:rFonts w:eastAsia="標楷體"/>
            <w:b/>
            <w:noProof/>
            <w:webHidden/>
          </w:rPr>
          <w:t>-</w:t>
        </w:r>
        <w:r w:rsidR="00427FB0" w:rsidRPr="00562BD8">
          <w:rPr>
            <w:rFonts w:eastAsia="標楷體"/>
            <w:b/>
            <w:noProof/>
            <w:webHidden/>
          </w:rPr>
          <w:fldChar w:fldCharType="begin"/>
        </w:r>
        <w:r w:rsidR="00427FB0" w:rsidRPr="00562BD8">
          <w:rPr>
            <w:rFonts w:eastAsia="標楷體"/>
            <w:b/>
            <w:noProof/>
            <w:webHidden/>
          </w:rPr>
          <w:instrText xml:space="preserve"> PAGEREF _Toc378767209 \h </w:instrText>
        </w:r>
        <w:r w:rsidR="00427FB0" w:rsidRPr="00562BD8">
          <w:rPr>
            <w:rFonts w:eastAsia="標楷體"/>
            <w:b/>
            <w:noProof/>
            <w:webHidden/>
          </w:rPr>
        </w:r>
        <w:r w:rsidR="00427FB0" w:rsidRPr="00562BD8">
          <w:rPr>
            <w:rFonts w:eastAsia="標楷體"/>
            <w:b/>
            <w:noProof/>
            <w:webHidden/>
          </w:rPr>
          <w:fldChar w:fldCharType="separate"/>
        </w:r>
        <w:r w:rsidR="000E552F" w:rsidRPr="00562BD8">
          <w:rPr>
            <w:rFonts w:eastAsia="標楷體"/>
            <w:b/>
            <w:noProof/>
            <w:webHidden/>
          </w:rPr>
          <w:t>4</w:t>
        </w:r>
        <w:r w:rsidR="00427FB0" w:rsidRPr="00562BD8">
          <w:rPr>
            <w:rFonts w:eastAsia="標楷體"/>
            <w:b/>
            <w:noProof/>
            <w:webHidden/>
          </w:rPr>
          <w:fldChar w:fldCharType="end"/>
        </w:r>
      </w:hyperlink>
    </w:p>
    <w:p w:rsidR="00427FB0" w:rsidRPr="00562BD8" w:rsidRDefault="003B2DA0" w:rsidP="00562BD8">
      <w:pPr>
        <w:pStyle w:val="21"/>
        <w:tabs>
          <w:tab w:val="clear" w:pos="8647"/>
          <w:tab w:val="left" w:leader="middleDot" w:pos="8224"/>
        </w:tabs>
        <w:ind w:firstLineChars="250" w:firstLine="700"/>
        <w:rPr>
          <w:rFonts w:eastAsia="標楷體"/>
          <w:b/>
          <w:noProof/>
          <w:sz w:val="24"/>
          <w:szCs w:val="22"/>
        </w:rPr>
      </w:pPr>
      <w:hyperlink w:anchor="_Toc378767210" w:history="1">
        <w:r w:rsidR="00427FB0" w:rsidRPr="00562BD8">
          <w:rPr>
            <w:rStyle w:val="a8"/>
            <w:b/>
            <w:noProof/>
          </w:rPr>
          <w:t>(</w:t>
        </w:r>
        <w:r w:rsidR="00427FB0" w:rsidRPr="00562BD8">
          <w:rPr>
            <w:rStyle w:val="a8"/>
            <w:b/>
            <w:noProof/>
          </w:rPr>
          <w:t>一</w:t>
        </w:r>
        <w:r w:rsidR="00427FB0" w:rsidRPr="00562BD8">
          <w:rPr>
            <w:rStyle w:val="a8"/>
            <w:b/>
            <w:noProof/>
          </w:rPr>
          <w:t xml:space="preserve">) </w:t>
        </w:r>
        <w:r w:rsidR="00427FB0" w:rsidRPr="00562BD8">
          <w:rPr>
            <w:rStyle w:val="a8"/>
            <w:b/>
            <w:noProof/>
          </w:rPr>
          <w:t>兒童及少年福利</w:t>
        </w:r>
        <w:r w:rsidR="00427FB0" w:rsidRPr="00562BD8">
          <w:rPr>
            <w:rFonts w:eastAsia="標楷體"/>
            <w:b/>
            <w:noProof/>
            <w:webHidden/>
          </w:rPr>
          <w:tab/>
        </w:r>
        <w:r w:rsidR="00562BD8" w:rsidRPr="00562BD8">
          <w:rPr>
            <w:rFonts w:eastAsia="標楷體"/>
            <w:b/>
            <w:noProof/>
            <w:webHidden/>
          </w:rPr>
          <w:t>伍</w:t>
        </w:r>
        <w:r w:rsidR="00562BD8" w:rsidRPr="00562BD8">
          <w:rPr>
            <w:rFonts w:eastAsia="標楷體"/>
            <w:b/>
            <w:noProof/>
            <w:webHidden/>
          </w:rPr>
          <w:t>-</w:t>
        </w:r>
        <w:r w:rsidR="00427FB0" w:rsidRPr="00562BD8">
          <w:rPr>
            <w:rFonts w:eastAsia="標楷體"/>
            <w:b/>
            <w:noProof/>
            <w:webHidden/>
          </w:rPr>
          <w:fldChar w:fldCharType="begin"/>
        </w:r>
        <w:r w:rsidR="00427FB0" w:rsidRPr="00562BD8">
          <w:rPr>
            <w:rFonts w:eastAsia="標楷體"/>
            <w:b/>
            <w:noProof/>
            <w:webHidden/>
          </w:rPr>
          <w:instrText xml:space="preserve"> PAGEREF _Toc378767210 \h </w:instrText>
        </w:r>
        <w:r w:rsidR="00427FB0" w:rsidRPr="00562BD8">
          <w:rPr>
            <w:rFonts w:eastAsia="標楷體"/>
            <w:b/>
            <w:noProof/>
            <w:webHidden/>
          </w:rPr>
        </w:r>
        <w:r w:rsidR="00427FB0" w:rsidRPr="00562BD8">
          <w:rPr>
            <w:rFonts w:eastAsia="標楷體"/>
            <w:b/>
            <w:noProof/>
            <w:webHidden/>
          </w:rPr>
          <w:fldChar w:fldCharType="separate"/>
        </w:r>
        <w:r w:rsidR="000E552F" w:rsidRPr="00562BD8">
          <w:rPr>
            <w:rFonts w:eastAsia="標楷體"/>
            <w:b/>
            <w:noProof/>
            <w:webHidden/>
          </w:rPr>
          <w:t>4</w:t>
        </w:r>
        <w:r w:rsidR="00427FB0" w:rsidRPr="00562BD8">
          <w:rPr>
            <w:rFonts w:eastAsia="標楷體"/>
            <w:b/>
            <w:noProof/>
            <w:webHidden/>
          </w:rPr>
          <w:fldChar w:fldCharType="end"/>
        </w:r>
      </w:hyperlink>
    </w:p>
    <w:p w:rsidR="00427FB0" w:rsidRPr="00562BD8" w:rsidRDefault="003B2DA0" w:rsidP="00562BD8">
      <w:pPr>
        <w:pStyle w:val="21"/>
        <w:tabs>
          <w:tab w:val="clear" w:pos="8647"/>
          <w:tab w:val="left" w:leader="middleDot" w:pos="8224"/>
        </w:tabs>
        <w:ind w:firstLineChars="250" w:firstLine="700"/>
        <w:rPr>
          <w:rFonts w:eastAsia="標楷體"/>
          <w:b/>
          <w:noProof/>
          <w:sz w:val="24"/>
          <w:szCs w:val="22"/>
        </w:rPr>
      </w:pPr>
      <w:hyperlink w:anchor="_Toc378767211" w:history="1">
        <w:r w:rsidR="00427FB0" w:rsidRPr="00562BD8">
          <w:rPr>
            <w:rStyle w:val="a8"/>
            <w:b/>
            <w:noProof/>
          </w:rPr>
          <w:t>(</w:t>
        </w:r>
        <w:r w:rsidR="00427FB0" w:rsidRPr="00562BD8">
          <w:rPr>
            <w:rStyle w:val="a8"/>
            <w:b/>
            <w:noProof/>
            <w:lang w:val="x-none"/>
          </w:rPr>
          <w:t>二</w:t>
        </w:r>
        <w:r w:rsidR="00427FB0" w:rsidRPr="00562BD8">
          <w:rPr>
            <w:rStyle w:val="a8"/>
            <w:b/>
            <w:noProof/>
          </w:rPr>
          <w:t xml:space="preserve">) </w:t>
        </w:r>
        <w:r w:rsidR="00427FB0" w:rsidRPr="00562BD8">
          <w:rPr>
            <w:rStyle w:val="a8"/>
            <w:b/>
            <w:noProof/>
            <w:lang w:val="x-none"/>
          </w:rPr>
          <w:t>婦女福利</w:t>
        </w:r>
        <w:r w:rsidR="00427FB0" w:rsidRPr="00562BD8">
          <w:rPr>
            <w:rFonts w:eastAsia="標楷體"/>
            <w:b/>
            <w:noProof/>
            <w:webHidden/>
          </w:rPr>
          <w:tab/>
        </w:r>
        <w:r w:rsidR="00562BD8" w:rsidRPr="00562BD8">
          <w:rPr>
            <w:rFonts w:eastAsia="標楷體"/>
            <w:b/>
            <w:noProof/>
            <w:webHidden/>
          </w:rPr>
          <w:t>伍</w:t>
        </w:r>
        <w:r w:rsidR="00562BD8" w:rsidRPr="00562BD8">
          <w:rPr>
            <w:rFonts w:eastAsia="標楷體"/>
            <w:b/>
            <w:noProof/>
            <w:webHidden/>
          </w:rPr>
          <w:t>-</w:t>
        </w:r>
        <w:r w:rsidR="00427FB0" w:rsidRPr="00562BD8">
          <w:rPr>
            <w:rFonts w:eastAsia="標楷體"/>
            <w:b/>
            <w:noProof/>
            <w:webHidden/>
          </w:rPr>
          <w:fldChar w:fldCharType="begin"/>
        </w:r>
        <w:r w:rsidR="00427FB0" w:rsidRPr="00562BD8">
          <w:rPr>
            <w:rFonts w:eastAsia="標楷體"/>
            <w:b/>
            <w:noProof/>
            <w:webHidden/>
          </w:rPr>
          <w:instrText xml:space="preserve"> PAGEREF _Toc378767211 \h </w:instrText>
        </w:r>
        <w:r w:rsidR="00427FB0" w:rsidRPr="00562BD8">
          <w:rPr>
            <w:rFonts w:eastAsia="標楷體"/>
            <w:b/>
            <w:noProof/>
            <w:webHidden/>
          </w:rPr>
        </w:r>
        <w:r w:rsidR="00427FB0" w:rsidRPr="00562BD8">
          <w:rPr>
            <w:rFonts w:eastAsia="標楷體"/>
            <w:b/>
            <w:noProof/>
            <w:webHidden/>
          </w:rPr>
          <w:fldChar w:fldCharType="separate"/>
        </w:r>
        <w:r w:rsidR="000E552F" w:rsidRPr="00562BD8">
          <w:rPr>
            <w:rFonts w:eastAsia="標楷體"/>
            <w:b/>
            <w:noProof/>
            <w:webHidden/>
          </w:rPr>
          <w:t>5</w:t>
        </w:r>
        <w:r w:rsidR="00427FB0" w:rsidRPr="00562BD8">
          <w:rPr>
            <w:rFonts w:eastAsia="標楷體"/>
            <w:b/>
            <w:noProof/>
            <w:webHidden/>
          </w:rPr>
          <w:fldChar w:fldCharType="end"/>
        </w:r>
      </w:hyperlink>
    </w:p>
    <w:p w:rsidR="00427FB0" w:rsidRPr="00562BD8" w:rsidRDefault="003B2DA0" w:rsidP="00562BD8">
      <w:pPr>
        <w:pStyle w:val="21"/>
        <w:tabs>
          <w:tab w:val="clear" w:pos="8647"/>
          <w:tab w:val="left" w:leader="middleDot" w:pos="8224"/>
        </w:tabs>
        <w:ind w:firstLineChars="250" w:firstLine="700"/>
        <w:rPr>
          <w:rFonts w:eastAsia="標楷體"/>
          <w:b/>
          <w:noProof/>
          <w:sz w:val="24"/>
          <w:szCs w:val="22"/>
        </w:rPr>
      </w:pPr>
      <w:hyperlink w:anchor="_Toc378767212" w:history="1">
        <w:r w:rsidR="00427FB0" w:rsidRPr="00562BD8">
          <w:rPr>
            <w:rStyle w:val="a8"/>
            <w:b/>
            <w:noProof/>
          </w:rPr>
          <w:t>(</w:t>
        </w:r>
        <w:r w:rsidR="00427FB0" w:rsidRPr="00562BD8">
          <w:rPr>
            <w:rStyle w:val="a8"/>
            <w:b/>
            <w:noProof/>
            <w:lang w:val="x-none"/>
          </w:rPr>
          <w:t>三</w:t>
        </w:r>
        <w:r w:rsidR="00427FB0" w:rsidRPr="00562BD8">
          <w:rPr>
            <w:rStyle w:val="a8"/>
            <w:b/>
            <w:noProof/>
          </w:rPr>
          <w:t xml:space="preserve">) </w:t>
        </w:r>
        <w:r w:rsidR="00427FB0" w:rsidRPr="00562BD8">
          <w:rPr>
            <w:rStyle w:val="a8"/>
            <w:b/>
            <w:noProof/>
            <w:lang w:val="x-none"/>
          </w:rPr>
          <w:t>老人福利</w:t>
        </w:r>
        <w:r w:rsidR="00427FB0" w:rsidRPr="00562BD8">
          <w:rPr>
            <w:rFonts w:eastAsia="標楷體"/>
            <w:b/>
            <w:noProof/>
            <w:webHidden/>
          </w:rPr>
          <w:tab/>
        </w:r>
        <w:r w:rsidR="00562BD8" w:rsidRPr="00562BD8">
          <w:rPr>
            <w:rFonts w:eastAsia="標楷體"/>
            <w:b/>
            <w:noProof/>
            <w:webHidden/>
          </w:rPr>
          <w:t>伍</w:t>
        </w:r>
        <w:r w:rsidR="00562BD8" w:rsidRPr="00562BD8">
          <w:rPr>
            <w:rFonts w:eastAsia="標楷體"/>
            <w:b/>
            <w:noProof/>
            <w:webHidden/>
          </w:rPr>
          <w:t>-</w:t>
        </w:r>
        <w:r w:rsidR="00427FB0" w:rsidRPr="00562BD8">
          <w:rPr>
            <w:rFonts w:eastAsia="標楷體"/>
            <w:b/>
            <w:noProof/>
            <w:webHidden/>
          </w:rPr>
          <w:fldChar w:fldCharType="begin"/>
        </w:r>
        <w:r w:rsidR="00427FB0" w:rsidRPr="00562BD8">
          <w:rPr>
            <w:rFonts w:eastAsia="標楷體"/>
            <w:b/>
            <w:noProof/>
            <w:webHidden/>
          </w:rPr>
          <w:instrText xml:space="preserve"> PAGEREF _Toc378767212 \h </w:instrText>
        </w:r>
        <w:r w:rsidR="00427FB0" w:rsidRPr="00562BD8">
          <w:rPr>
            <w:rFonts w:eastAsia="標楷體"/>
            <w:b/>
            <w:noProof/>
            <w:webHidden/>
          </w:rPr>
        </w:r>
        <w:r w:rsidR="00427FB0" w:rsidRPr="00562BD8">
          <w:rPr>
            <w:rFonts w:eastAsia="標楷體"/>
            <w:b/>
            <w:noProof/>
            <w:webHidden/>
          </w:rPr>
          <w:fldChar w:fldCharType="separate"/>
        </w:r>
        <w:r w:rsidR="000E552F" w:rsidRPr="00562BD8">
          <w:rPr>
            <w:rFonts w:eastAsia="標楷體"/>
            <w:b/>
            <w:noProof/>
            <w:webHidden/>
          </w:rPr>
          <w:t>6</w:t>
        </w:r>
        <w:r w:rsidR="00427FB0" w:rsidRPr="00562BD8">
          <w:rPr>
            <w:rFonts w:eastAsia="標楷體"/>
            <w:b/>
            <w:noProof/>
            <w:webHidden/>
          </w:rPr>
          <w:fldChar w:fldCharType="end"/>
        </w:r>
      </w:hyperlink>
    </w:p>
    <w:p w:rsidR="00427FB0" w:rsidRPr="00562BD8" w:rsidRDefault="003B2DA0" w:rsidP="00562BD8">
      <w:pPr>
        <w:pStyle w:val="21"/>
        <w:tabs>
          <w:tab w:val="clear" w:pos="8647"/>
          <w:tab w:val="left" w:leader="middleDot" w:pos="8224"/>
        </w:tabs>
        <w:ind w:firstLineChars="250" w:firstLine="700"/>
        <w:rPr>
          <w:rFonts w:eastAsia="標楷體"/>
          <w:b/>
          <w:noProof/>
          <w:sz w:val="24"/>
          <w:szCs w:val="22"/>
        </w:rPr>
      </w:pPr>
      <w:hyperlink w:anchor="_Toc378767213" w:history="1">
        <w:r w:rsidR="00427FB0" w:rsidRPr="00562BD8">
          <w:rPr>
            <w:rStyle w:val="a8"/>
            <w:b/>
            <w:noProof/>
          </w:rPr>
          <w:t>(</w:t>
        </w:r>
        <w:r w:rsidR="00427FB0" w:rsidRPr="00562BD8">
          <w:rPr>
            <w:rStyle w:val="a8"/>
            <w:b/>
            <w:noProof/>
          </w:rPr>
          <w:t>四</w:t>
        </w:r>
        <w:r w:rsidR="00427FB0" w:rsidRPr="00562BD8">
          <w:rPr>
            <w:rStyle w:val="a8"/>
            <w:b/>
            <w:noProof/>
          </w:rPr>
          <w:t xml:space="preserve">) </w:t>
        </w:r>
        <w:r w:rsidR="00427FB0" w:rsidRPr="00562BD8">
          <w:rPr>
            <w:rStyle w:val="a8"/>
            <w:b/>
            <w:noProof/>
          </w:rPr>
          <w:t>身心障礙者福利</w:t>
        </w:r>
        <w:r w:rsidR="00427FB0" w:rsidRPr="00562BD8">
          <w:rPr>
            <w:rFonts w:eastAsia="標楷體"/>
            <w:b/>
            <w:noProof/>
            <w:webHidden/>
          </w:rPr>
          <w:tab/>
        </w:r>
        <w:r w:rsidR="00562BD8" w:rsidRPr="00562BD8">
          <w:rPr>
            <w:rFonts w:eastAsia="標楷體"/>
            <w:b/>
            <w:noProof/>
            <w:webHidden/>
          </w:rPr>
          <w:t>伍</w:t>
        </w:r>
        <w:r w:rsidR="00562BD8" w:rsidRPr="00562BD8">
          <w:rPr>
            <w:rFonts w:eastAsia="標楷體"/>
            <w:b/>
            <w:noProof/>
            <w:webHidden/>
          </w:rPr>
          <w:t>-</w:t>
        </w:r>
        <w:r w:rsidR="00427FB0" w:rsidRPr="00562BD8">
          <w:rPr>
            <w:rFonts w:eastAsia="標楷體"/>
            <w:b/>
            <w:noProof/>
            <w:webHidden/>
          </w:rPr>
          <w:fldChar w:fldCharType="begin"/>
        </w:r>
        <w:r w:rsidR="00427FB0" w:rsidRPr="00562BD8">
          <w:rPr>
            <w:rFonts w:eastAsia="標楷體"/>
            <w:b/>
            <w:noProof/>
            <w:webHidden/>
          </w:rPr>
          <w:instrText xml:space="preserve"> PAGEREF _Toc378767213 \h </w:instrText>
        </w:r>
        <w:r w:rsidR="00427FB0" w:rsidRPr="00562BD8">
          <w:rPr>
            <w:rFonts w:eastAsia="標楷體"/>
            <w:b/>
            <w:noProof/>
            <w:webHidden/>
          </w:rPr>
        </w:r>
        <w:r w:rsidR="00427FB0" w:rsidRPr="00562BD8">
          <w:rPr>
            <w:rFonts w:eastAsia="標楷體"/>
            <w:b/>
            <w:noProof/>
            <w:webHidden/>
          </w:rPr>
          <w:fldChar w:fldCharType="separate"/>
        </w:r>
        <w:r w:rsidR="000E552F" w:rsidRPr="00562BD8">
          <w:rPr>
            <w:rFonts w:eastAsia="標楷體"/>
            <w:b/>
            <w:noProof/>
            <w:webHidden/>
          </w:rPr>
          <w:t>7</w:t>
        </w:r>
        <w:r w:rsidR="00427FB0" w:rsidRPr="00562BD8">
          <w:rPr>
            <w:rFonts w:eastAsia="標楷體"/>
            <w:b/>
            <w:noProof/>
            <w:webHidden/>
          </w:rPr>
          <w:fldChar w:fldCharType="end"/>
        </w:r>
      </w:hyperlink>
    </w:p>
    <w:p w:rsidR="00427FB0" w:rsidRPr="00562BD8" w:rsidRDefault="003B2DA0" w:rsidP="00C86252">
      <w:pPr>
        <w:pStyle w:val="11"/>
        <w:rPr>
          <w:rFonts w:eastAsia="標楷體"/>
          <w:b/>
          <w:noProof/>
          <w:sz w:val="24"/>
          <w:szCs w:val="22"/>
        </w:rPr>
      </w:pPr>
      <w:hyperlink w:anchor="_Toc378767214" w:history="1">
        <w:r w:rsidR="00427FB0" w:rsidRPr="00562BD8">
          <w:rPr>
            <w:rStyle w:val="a8"/>
            <w:b/>
            <w:noProof/>
            <w:lang w:val="x-none"/>
          </w:rPr>
          <w:t>三</w:t>
        </w:r>
        <w:r w:rsidR="00427FB0" w:rsidRPr="00562BD8">
          <w:rPr>
            <w:rStyle w:val="a8"/>
            <w:b/>
            <w:noProof/>
          </w:rPr>
          <w:t>、</w:t>
        </w:r>
        <w:r w:rsidR="00427FB0" w:rsidRPr="00562BD8">
          <w:rPr>
            <w:rStyle w:val="a8"/>
            <w:b/>
            <w:noProof/>
            <w:lang w:val="x-none"/>
          </w:rPr>
          <w:t>社會保護</w:t>
        </w:r>
        <w:r w:rsidR="00427FB0" w:rsidRPr="00562BD8">
          <w:rPr>
            <w:rFonts w:eastAsia="標楷體"/>
            <w:b/>
            <w:noProof/>
            <w:webHidden/>
          </w:rPr>
          <w:tab/>
        </w:r>
        <w:r w:rsidR="00562BD8" w:rsidRPr="00562BD8">
          <w:rPr>
            <w:rFonts w:eastAsia="標楷體"/>
            <w:b/>
            <w:noProof/>
            <w:webHidden/>
          </w:rPr>
          <w:t>伍</w:t>
        </w:r>
        <w:r w:rsidR="00562BD8" w:rsidRPr="00562BD8">
          <w:rPr>
            <w:rFonts w:eastAsia="標楷體"/>
            <w:b/>
            <w:noProof/>
            <w:webHidden/>
          </w:rPr>
          <w:t>-</w:t>
        </w:r>
        <w:r w:rsidR="00427FB0" w:rsidRPr="00562BD8">
          <w:rPr>
            <w:rFonts w:eastAsia="標楷體"/>
            <w:b/>
            <w:noProof/>
            <w:webHidden/>
          </w:rPr>
          <w:fldChar w:fldCharType="begin"/>
        </w:r>
        <w:r w:rsidR="00427FB0" w:rsidRPr="00562BD8">
          <w:rPr>
            <w:rFonts w:eastAsia="標楷體"/>
            <w:b/>
            <w:noProof/>
            <w:webHidden/>
          </w:rPr>
          <w:instrText xml:space="preserve"> PAGEREF _Toc378767214 \h </w:instrText>
        </w:r>
        <w:r w:rsidR="00427FB0" w:rsidRPr="00562BD8">
          <w:rPr>
            <w:rFonts w:eastAsia="標楷體"/>
            <w:b/>
            <w:noProof/>
            <w:webHidden/>
          </w:rPr>
        </w:r>
        <w:r w:rsidR="00427FB0" w:rsidRPr="00562BD8">
          <w:rPr>
            <w:rFonts w:eastAsia="標楷體"/>
            <w:b/>
            <w:noProof/>
            <w:webHidden/>
          </w:rPr>
          <w:fldChar w:fldCharType="separate"/>
        </w:r>
        <w:r w:rsidR="000E552F" w:rsidRPr="00562BD8">
          <w:rPr>
            <w:rFonts w:eastAsia="標楷體"/>
            <w:b/>
            <w:noProof/>
            <w:webHidden/>
          </w:rPr>
          <w:t>8</w:t>
        </w:r>
        <w:r w:rsidR="00427FB0" w:rsidRPr="00562BD8">
          <w:rPr>
            <w:rFonts w:eastAsia="標楷體"/>
            <w:b/>
            <w:noProof/>
            <w:webHidden/>
          </w:rPr>
          <w:fldChar w:fldCharType="end"/>
        </w:r>
      </w:hyperlink>
    </w:p>
    <w:p w:rsidR="00427FB0" w:rsidRPr="00562BD8" w:rsidRDefault="003B2DA0" w:rsidP="00562BD8">
      <w:pPr>
        <w:pStyle w:val="21"/>
        <w:tabs>
          <w:tab w:val="clear" w:pos="8647"/>
          <w:tab w:val="left" w:leader="middleDot" w:pos="8224"/>
        </w:tabs>
        <w:ind w:firstLineChars="250" w:firstLine="700"/>
        <w:rPr>
          <w:rFonts w:eastAsia="標楷體"/>
          <w:b/>
          <w:noProof/>
          <w:sz w:val="24"/>
          <w:szCs w:val="22"/>
        </w:rPr>
      </w:pPr>
      <w:hyperlink w:anchor="_Toc378767215" w:history="1">
        <w:r w:rsidR="00427FB0" w:rsidRPr="00562BD8">
          <w:rPr>
            <w:rStyle w:val="a8"/>
            <w:b/>
            <w:noProof/>
          </w:rPr>
          <w:t>(</w:t>
        </w:r>
        <w:r w:rsidR="00427FB0" w:rsidRPr="00562BD8">
          <w:rPr>
            <w:rStyle w:val="a8"/>
            <w:b/>
            <w:noProof/>
          </w:rPr>
          <w:t>一</w:t>
        </w:r>
        <w:r w:rsidR="00427FB0" w:rsidRPr="00562BD8">
          <w:rPr>
            <w:rStyle w:val="a8"/>
            <w:b/>
            <w:noProof/>
          </w:rPr>
          <w:t xml:space="preserve">) </w:t>
        </w:r>
        <w:r w:rsidR="00427FB0" w:rsidRPr="00562BD8">
          <w:rPr>
            <w:rStyle w:val="a8"/>
            <w:b/>
            <w:noProof/>
            <w:lang w:val="x-none"/>
          </w:rPr>
          <w:t>兒童及少年保護執行</w:t>
        </w:r>
        <w:r w:rsidR="00427FB0" w:rsidRPr="00562BD8">
          <w:rPr>
            <w:rFonts w:eastAsia="標楷體"/>
            <w:b/>
            <w:noProof/>
            <w:webHidden/>
          </w:rPr>
          <w:tab/>
        </w:r>
        <w:r w:rsidR="00562BD8" w:rsidRPr="00562BD8">
          <w:rPr>
            <w:rFonts w:eastAsia="標楷體"/>
            <w:b/>
            <w:noProof/>
            <w:webHidden/>
          </w:rPr>
          <w:t>伍</w:t>
        </w:r>
        <w:r w:rsidR="00562BD8" w:rsidRPr="00562BD8">
          <w:rPr>
            <w:rFonts w:eastAsia="標楷體"/>
            <w:b/>
            <w:noProof/>
            <w:webHidden/>
          </w:rPr>
          <w:t>-</w:t>
        </w:r>
        <w:r w:rsidR="00427FB0" w:rsidRPr="00562BD8">
          <w:rPr>
            <w:rFonts w:eastAsia="標楷體"/>
            <w:b/>
            <w:noProof/>
            <w:webHidden/>
          </w:rPr>
          <w:fldChar w:fldCharType="begin"/>
        </w:r>
        <w:r w:rsidR="00427FB0" w:rsidRPr="00562BD8">
          <w:rPr>
            <w:rFonts w:eastAsia="標楷體"/>
            <w:b/>
            <w:noProof/>
            <w:webHidden/>
          </w:rPr>
          <w:instrText xml:space="preserve"> PAGEREF _Toc378767215 \h </w:instrText>
        </w:r>
        <w:r w:rsidR="00427FB0" w:rsidRPr="00562BD8">
          <w:rPr>
            <w:rFonts w:eastAsia="標楷體"/>
            <w:b/>
            <w:noProof/>
            <w:webHidden/>
          </w:rPr>
        </w:r>
        <w:r w:rsidR="00427FB0" w:rsidRPr="00562BD8">
          <w:rPr>
            <w:rFonts w:eastAsia="標楷體"/>
            <w:b/>
            <w:noProof/>
            <w:webHidden/>
          </w:rPr>
          <w:fldChar w:fldCharType="separate"/>
        </w:r>
        <w:r w:rsidR="000E552F" w:rsidRPr="00562BD8">
          <w:rPr>
            <w:rFonts w:eastAsia="標楷體"/>
            <w:b/>
            <w:noProof/>
            <w:webHidden/>
          </w:rPr>
          <w:t>8</w:t>
        </w:r>
        <w:r w:rsidR="00427FB0" w:rsidRPr="00562BD8">
          <w:rPr>
            <w:rFonts w:eastAsia="標楷體"/>
            <w:b/>
            <w:noProof/>
            <w:webHidden/>
          </w:rPr>
          <w:fldChar w:fldCharType="end"/>
        </w:r>
      </w:hyperlink>
    </w:p>
    <w:p w:rsidR="00427FB0" w:rsidRPr="00562BD8" w:rsidRDefault="003B2DA0" w:rsidP="00562BD8">
      <w:pPr>
        <w:pStyle w:val="21"/>
        <w:tabs>
          <w:tab w:val="clear" w:pos="8647"/>
          <w:tab w:val="left" w:leader="middleDot" w:pos="8224"/>
        </w:tabs>
        <w:ind w:firstLineChars="250" w:firstLine="700"/>
        <w:rPr>
          <w:rFonts w:eastAsia="標楷體"/>
          <w:b/>
          <w:noProof/>
          <w:sz w:val="24"/>
          <w:szCs w:val="22"/>
        </w:rPr>
      </w:pPr>
      <w:hyperlink w:anchor="_Toc378767216" w:history="1">
        <w:r w:rsidR="00427FB0" w:rsidRPr="00562BD8">
          <w:rPr>
            <w:rStyle w:val="a8"/>
            <w:b/>
            <w:noProof/>
          </w:rPr>
          <w:t>(</w:t>
        </w:r>
        <w:r w:rsidR="00427FB0" w:rsidRPr="00562BD8">
          <w:rPr>
            <w:rStyle w:val="a8"/>
            <w:b/>
            <w:noProof/>
            <w:lang w:val="x-none"/>
          </w:rPr>
          <w:t>二</w:t>
        </w:r>
        <w:r w:rsidR="00427FB0" w:rsidRPr="00562BD8">
          <w:rPr>
            <w:rStyle w:val="a8"/>
            <w:b/>
            <w:noProof/>
          </w:rPr>
          <w:t xml:space="preserve">) </w:t>
        </w:r>
        <w:r w:rsidR="00427FB0" w:rsidRPr="00562BD8">
          <w:rPr>
            <w:rStyle w:val="a8"/>
            <w:b/>
            <w:noProof/>
            <w:lang w:val="x-none"/>
          </w:rPr>
          <w:t>家庭暴力防治</w:t>
        </w:r>
        <w:r w:rsidR="00427FB0" w:rsidRPr="00562BD8">
          <w:rPr>
            <w:rFonts w:eastAsia="標楷體"/>
            <w:b/>
            <w:noProof/>
            <w:webHidden/>
          </w:rPr>
          <w:tab/>
        </w:r>
        <w:r w:rsidR="00562BD8" w:rsidRPr="00562BD8">
          <w:rPr>
            <w:rFonts w:eastAsia="標楷體"/>
            <w:b/>
            <w:noProof/>
            <w:webHidden/>
          </w:rPr>
          <w:t>伍</w:t>
        </w:r>
        <w:r w:rsidR="00562BD8" w:rsidRPr="00562BD8">
          <w:rPr>
            <w:rFonts w:eastAsia="標楷體"/>
            <w:b/>
            <w:noProof/>
            <w:webHidden/>
          </w:rPr>
          <w:t>-</w:t>
        </w:r>
        <w:r w:rsidR="00427FB0" w:rsidRPr="00562BD8">
          <w:rPr>
            <w:rFonts w:eastAsia="標楷體"/>
            <w:b/>
            <w:noProof/>
            <w:webHidden/>
          </w:rPr>
          <w:fldChar w:fldCharType="begin"/>
        </w:r>
        <w:r w:rsidR="00427FB0" w:rsidRPr="00562BD8">
          <w:rPr>
            <w:rFonts w:eastAsia="標楷體"/>
            <w:b/>
            <w:noProof/>
            <w:webHidden/>
          </w:rPr>
          <w:instrText xml:space="preserve"> PAGEREF _Toc378767216 \h </w:instrText>
        </w:r>
        <w:r w:rsidR="00427FB0" w:rsidRPr="00562BD8">
          <w:rPr>
            <w:rFonts w:eastAsia="標楷體"/>
            <w:b/>
            <w:noProof/>
            <w:webHidden/>
          </w:rPr>
        </w:r>
        <w:r w:rsidR="00427FB0" w:rsidRPr="00562BD8">
          <w:rPr>
            <w:rFonts w:eastAsia="標楷體"/>
            <w:b/>
            <w:noProof/>
            <w:webHidden/>
          </w:rPr>
          <w:fldChar w:fldCharType="separate"/>
        </w:r>
        <w:r w:rsidR="000E552F" w:rsidRPr="00562BD8">
          <w:rPr>
            <w:rFonts w:eastAsia="標楷體"/>
            <w:b/>
            <w:noProof/>
            <w:webHidden/>
          </w:rPr>
          <w:t>9</w:t>
        </w:r>
        <w:r w:rsidR="00427FB0" w:rsidRPr="00562BD8">
          <w:rPr>
            <w:rFonts w:eastAsia="標楷體"/>
            <w:b/>
            <w:noProof/>
            <w:webHidden/>
          </w:rPr>
          <w:fldChar w:fldCharType="end"/>
        </w:r>
      </w:hyperlink>
    </w:p>
    <w:p w:rsidR="00427FB0" w:rsidRPr="00562BD8" w:rsidRDefault="003B2DA0" w:rsidP="00562BD8">
      <w:pPr>
        <w:pStyle w:val="21"/>
        <w:tabs>
          <w:tab w:val="clear" w:pos="8647"/>
          <w:tab w:val="left" w:leader="middleDot" w:pos="8224"/>
        </w:tabs>
        <w:ind w:firstLineChars="250" w:firstLine="700"/>
        <w:rPr>
          <w:rFonts w:eastAsia="標楷體"/>
          <w:b/>
          <w:noProof/>
          <w:sz w:val="24"/>
          <w:szCs w:val="22"/>
        </w:rPr>
      </w:pPr>
      <w:hyperlink w:anchor="_Toc378767217" w:history="1">
        <w:r w:rsidR="00427FB0" w:rsidRPr="00562BD8">
          <w:rPr>
            <w:rStyle w:val="a8"/>
            <w:b/>
            <w:noProof/>
          </w:rPr>
          <w:t>(</w:t>
        </w:r>
        <w:r w:rsidR="00427FB0" w:rsidRPr="00562BD8">
          <w:rPr>
            <w:rStyle w:val="a8"/>
            <w:b/>
            <w:noProof/>
            <w:lang w:val="x-none"/>
          </w:rPr>
          <w:t>三</w:t>
        </w:r>
        <w:r w:rsidR="00427FB0" w:rsidRPr="00562BD8">
          <w:rPr>
            <w:rStyle w:val="a8"/>
            <w:b/>
            <w:noProof/>
          </w:rPr>
          <w:t xml:space="preserve">) </w:t>
        </w:r>
        <w:r w:rsidR="00427FB0" w:rsidRPr="00562BD8">
          <w:rPr>
            <w:rStyle w:val="a8"/>
            <w:b/>
            <w:noProof/>
            <w:lang w:val="x-none"/>
          </w:rPr>
          <w:t>性侵害防治</w:t>
        </w:r>
        <w:r w:rsidR="00427FB0" w:rsidRPr="00562BD8">
          <w:rPr>
            <w:rFonts w:eastAsia="標楷體"/>
            <w:b/>
            <w:noProof/>
            <w:webHidden/>
          </w:rPr>
          <w:tab/>
        </w:r>
        <w:r w:rsidR="00562BD8" w:rsidRPr="00562BD8">
          <w:rPr>
            <w:rFonts w:eastAsia="標楷體"/>
            <w:b/>
            <w:noProof/>
            <w:webHidden/>
          </w:rPr>
          <w:t>伍</w:t>
        </w:r>
        <w:r w:rsidR="00562BD8" w:rsidRPr="00562BD8">
          <w:rPr>
            <w:rFonts w:eastAsia="標楷體"/>
            <w:b/>
            <w:noProof/>
            <w:webHidden/>
          </w:rPr>
          <w:t>-</w:t>
        </w:r>
        <w:r w:rsidR="00427FB0" w:rsidRPr="00562BD8">
          <w:rPr>
            <w:rFonts w:eastAsia="標楷體"/>
            <w:b/>
            <w:noProof/>
            <w:webHidden/>
          </w:rPr>
          <w:fldChar w:fldCharType="begin"/>
        </w:r>
        <w:r w:rsidR="00427FB0" w:rsidRPr="00562BD8">
          <w:rPr>
            <w:rFonts w:eastAsia="標楷體"/>
            <w:b/>
            <w:noProof/>
            <w:webHidden/>
          </w:rPr>
          <w:instrText xml:space="preserve"> PAGEREF _Toc378767217 \h </w:instrText>
        </w:r>
        <w:r w:rsidR="00427FB0" w:rsidRPr="00562BD8">
          <w:rPr>
            <w:rFonts w:eastAsia="標楷體"/>
            <w:b/>
            <w:noProof/>
            <w:webHidden/>
          </w:rPr>
        </w:r>
        <w:r w:rsidR="00427FB0" w:rsidRPr="00562BD8">
          <w:rPr>
            <w:rFonts w:eastAsia="標楷體"/>
            <w:b/>
            <w:noProof/>
            <w:webHidden/>
          </w:rPr>
          <w:fldChar w:fldCharType="separate"/>
        </w:r>
        <w:r w:rsidR="000E552F" w:rsidRPr="00562BD8">
          <w:rPr>
            <w:rFonts w:eastAsia="標楷體"/>
            <w:b/>
            <w:noProof/>
            <w:webHidden/>
          </w:rPr>
          <w:t>10</w:t>
        </w:r>
        <w:r w:rsidR="00427FB0" w:rsidRPr="00562BD8">
          <w:rPr>
            <w:rFonts w:eastAsia="標楷體"/>
            <w:b/>
            <w:noProof/>
            <w:webHidden/>
          </w:rPr>
          <w:fldChar w:fldCharType="end"/>
        </w:r>
      </w:hyperlink>
    </w:p>
    <w:p w:rsidR="00427FB0" w:rsidRPr="00562BD8" w:rsidRDefault="003B2DA0" w:rsidP="00562BD8">
      <w:pPr>
        <w:pStyle w:val="21"/>
        <w:tabs>
          <w:tab w:val="clear" w:pos="8647"/>
          <w:tab w:val="left" w:leader="middleDot" w:pos="8224"/>
        </w:tabs>
        <w:ind w:firstLineChars="250" w:firstLine="700"/>
        <w:rPr>
          <w:rFonts w:eastAsia="標楷體"/>
          <w:b/>
          <w:noProof/>
          <w:sz w:val="24"/>
          <w:szCs w:val="22"/>
        </w:rPr>
      </w:pPr>
      <w:hyperlink w:anchor="_Toc378767218" w:history="1">
        <w:r w:rsidR="00427FB0" w:rsidRPr="00562BD8">
          <w:rPr>
            <w:rStyle w:val="a8"/>
            <w:b/>
            <w:noProof/>
          </w:rPr>
          <w:t>(</w:t>
        </w:r>
        <w:r w:rsidR="00427FB0" w:rsidRPr="00562BD8">
          <w:rPr>
            <w:rStyle w:val="a8"/>
            <w:b/>
            <w:noProof/>
            <w:lang w:val="x-none"/>
          </w:rPr>
          <w:t>四</w:t>
        </w:r>
        <w:r w:rsidR="00427FB0" w:rsidRPr="00562BD8">
          <w:rPr>
            <w:rStyle w:val="a8"/>
            <w:b/>
            <w:noProof/>
          </w:rPr>
          <w:t xml:space="preserve">) </w:t>
        </w:r>
        <w:r w:rsidR="00427FB0" w:rsidRPr="00562BD8">
          <w:rPr>
            <w:rStyle w:val="a8"/>
            <w:b/>
            <w:noProof/>
            <w:lang w:val="x-none"/>
          </w:rPr>
          <w:t>性騷擾防治</w:t>
        </w:r>
        <w:r w:rsidR="00427FB0" w:rsidRPr="00562BD8">
          <w:rPr>
            <w:rFonts w:eastAsia="標楷體"/>
            <w:b/>
            <w:noProof/>
            <w:webHidden/>
          </w:rPr>
          <w:tab/>
        </w:r>
        <w:r w:rsidR="00562BD8" w:rsidRPr="00562BD8">
          <w:rPr>
            <w:rFonts w:eastAsia="標楷體"/>
            <w:b/>
            <w:noProof/>
            <w:webHidden/>
          </w:rPr>
          <w:t>伍</w:t>
        </w:r>
        <w:r w:rsidR="00562BD8" w:rsidRPr="00562BD8">
          <w:rPr>
            <w:rFonts w:eastAsia="標楷體"/>
            <w:b/>
            <w:noProof/>
            <w:webHidden/>
          </w:rPr>
          <w:t>-</w:t>
        </w:r>
        <w:r w:rsidR="00427FB0" w:rsidRPr="00562BD8">
          <w:rPr>
            <w:rFonts w:eastAsia="標楷體"/>
            <w:b/>
            <w:noProof/>
            <w:webHidden/>
          </w:rPr>
          <w:fldChar w:fldCharType="begin"/>
        </w:r>
        <w:r w:rsidR="00427FB0" w:rsidRPr="00562BD8">
          <w:rPr>
            <w:rFonts w:eastAsia="標楷體"/>
            <w:b/>
            <w:noProof/>
            <w:webHidden/>
          </w:rPr>
          <w:instrText xml:space="preserve"> PAGEREF _Toc378767218 \h </w:instrText>
        </w:r>
        <w:r w:rsidR="00427FB0" w:rsidRPr="00562BD8">
          <w:rPr>
            <w:rFonts w:eastAsia="標楷體"/>
            <w:b/>
            <w:noProof/>
            <w:webHidden/>
          </w:rPr>
        </w:r>
        <w:r w:rsidR="00427FB0" w:rsidRPr="00562BD8">
          <w:rPr>
            <w:rFonts w:eastAsia="標楷體"/>
            <w:b/>
            <w:noProof/>
            <w:webHidden/>
          </w:rPr>
          <w:fldChar w:fldCharType="separate"/>
        </w:r>
        <w:r w:rsidR="000E552F" w:rsidRPr="00562BD8">
          <w:rPr>
            <w:rFonts w:eastAsia="標楷體"/>
            <w:b/>
            <w:noProof/>
            <w:webHidden/>
          </w:rPr>
          <w:t>11</w:t>
        </w:r>
        <w:r w:rsidR="00427FB0" w:rsidRPr="00562BD8">
          <w:rPr>
            <w:rFonts w:eastAsia="標楷體"/>
            <w:b/>
            <w:noProof/>
            <w:webHidden/>
          </w:rPr>
          <w:fldChar w:fldCharType="end"/>
        </w:r>
      </w:hyperlink>
    </w:p>
    <w:p w:rsidR="00427FB0" w:rsidRPr="00562BD8" w:rsidRDefault="003B2DA0" w:rsidP="00C86252">
      <w:pPr>
        <w:pStyle w:val="11"/>
        <w:tabs>
          <w:tab w:val="clear" w:pos="8789"/>
        </w:tabs>
        <w:rPr>
          <w:rFonts w:eastAsia="標楷體"/>
          <w:b/>
          <w:noProof/>
          <w:sz w:val="24"/>
          <w:szCs w:val="22"/>
        </w:rPr>
      </w:pPr>
      <w:hyperlink w:anchor="_Toc378767219" w:history="1">
        <w:r w:rsidR="00427FB0" w:rsidRPr="00562BD8">
          <w:rPr>
            <w:rStyle w:val="a8"/>
            <w:b/>
            <w:noProof/>
            <w:lang w:val="x-none"/>
          </w:rPr>
          <w:t>四</w:t>
        </w:r>
        <w:r w:rsidR="00427FB0" w:rsidRPr="00562BD8">
          <w:rPr>
            <w:rStyle w:val="a8"/>
            <w:b/>
            <w:noProof/>
          </w:rPr>
          <w:t>、社會保險</w:t>
        </w:r>
        <w:r w:rsidR="00C86252" w:rsidRPr="00562BD8">
          <w:rPr>
            <w:rFonts w:eastAsia="標楷體"/>
            <w:b/>
            <w:noProof/>
            <w:webHidden/>
          </w:rPr>
          <w:t>……………………………………………………</w:t>
        </w:r>
        <w:r w:rsidR="00562BD8">
          <w:rPr>
            <w:rFonts w:eastAsia="標楷體" w:hint="eastAsia"/>
            <w:b/>
            <w:noProof/>
            <w:webHidden/>
          </w:rPr>
          <w:t>..</w:t>
        </w:r>
        <w:r w:rsidR="00562BD8" w:rsidRPr="00562BD8">
          <w:rPr>
            <w:rFonts w:eastAsia="標楷體"/>
            <w:b/>
            <w:noProof/>
            <w:webHidden/>
          </w:rPr>
          <w:t>伍</w:t>
        </w:r>
        <w:r w:rsidR="00562BD8" w:rsidRPr="00562BD8">
          <w:rPr>
            <w:rFonts w:eastAsia="標楷體"/>
            <w:b/>
            <w:noProof/>
            <w:webHidden/>
          </w:rPr>
          <w:t>-</w:t>
        </w:r>
        <w:r w:rsidR="00427FB0" w:rsidRPr="00562BD8">
          <w:rPr>
            <w:rFonts w:eastAsia="標楷體"/>
            <w:b/>
            <w:noProof/>
            <w:webHidden/>
          </w:rPr>
          <w:fldChar w:fldCharType="begin"/>
        </w:r>
        <w:r w:rsidR="00427FB0" w:rsidRPr="00562BD8">
          <w:rPr>
            <w:rFonts w:eastAsia="標楷體"/>
            <w:b/>
            <w:noProof/>
            <w:webHidden/>
          </w:rPr>
          <w:instrText xml:space="preserve"> PAGEREF _Toc378767219 \h </w:instrText>
        </w:r>
        <w:r w:rsidR="00427FB0" w:rsidRPr="00562BD8">
          <w:rPr>
            <w:rFonts w:eastAsia="標楷體"/>
            <w:b/>
            <w:noProof/>
            <w:webHidden/>
          </w:rPr>
        </w:r>
        <w:r w:rsidR="00427FB0" w:rsidRPr="00562BD8">
          <w:rPr>
            <w:rFonts w:eastAsia="標楷體"/>
            <w:b/>
            <w:noProof/>
            <w:webHidden/>
          </w:rPr>
          <w:fldChar w:fldCharType="separate"/>
        </w:r>
        <w:r w:rsidR="000E552F" w:rsidRPr="00562BD8">
          <w:rPr>
            <w:rFonts w:eastAsia="標楷體"/>
            <w:b/>
            <w:noProof/>
            <w:webHidden/>
          </w:rPr>
          <w:t>12</w:t>
        </w:r>
        <w:r w:rsidR="00427FB0" w:rsidRPr="00562BD8">
          <w:rPr>
            <w:rFonts w:eastAsia="標楷體"/>
            <w:b/>
            <w:noProof/>
            <w:webHidden/>
          </w:rPr>
          <w:fldChar w:fldCharType="end"/>
        </w:r>
      </w:hyperlink>
    </w:p>
    <w:p w:rsidR="00427FB0" w:rsidRPr="00562BD8" w:rsidRDefault="003B2DA0" w:rsidP="00562BD8">
      <w:pPr>
        <w:pStyle w:val="21"/>
        <w:tabs>
          <w:tab w:val="clear" w:pos="8647"/>
          <w:tab w:val="left" w:leader="middleDot" w:pos="8224"/>
        </w:tabs>
        <w:ind w:firstLineChars="250" w:firstLine="700"/>
        <w:rPr>
          <w:rFonts w:eastAsia="標楷體"/>
          <w:b/>
          <w:noProof/>
          <w:sz w:val="24"/>
          <w:szCs w:val="22"/>
        </w:rPr>
      </w:pPr>
      <w:hyperlink w:anchor="_Toc378767220" w:history="1">
        <w:r w:rsidR="00427FB0" w:rsidRPr="00562BD8">
          <w:rPr>
            <w:rStyle w:val="a8"/>
            <w:b/>
            <w:noProof/>
          </w:rPr>
          <w:t>(</w:t>
        </w:r>
        <w:r w:rsidR="00427FB0" w:rsidRPr="00562BD8">
          <w:rPr>
            <w:rStyle w:val="a8"/>
            <w:b/>
            <w:noProof/>
          </w:rPr>
          <w:t>一</w:t>
        </w:r>
        <w:r w:rsidR="00427FB0" w:rsidRPr="00562BD8">
          <w:rPr>
            <w:rStyle w:val="a8"/>
            <w:b/>
            <w:noProof/>
          </w:rPr>
          <w:t xml:space="preserve">) </w:t>
        </w:r>
        <w:r w:rsidR="00427FB0" w:rsidRPr="00562BD8">
          <w:rPr>
            <w:rStyle w:val="a8"/>
            <w:b/>
            <w:noProof/>
          </w:rPr>
          <w:t>國民年金</w:t>
        </w:r>
        <w:r w:rsidR="00427FB0" w:rsidRPr="00562BD8">
          <w:rPr>
            <w:rStyle w:val="a8"/>
            <w:b/>
            <w:noProof/>
            <w:lang w:val="x-none"/>
          </w:rPr>
          <w:t>投保人數</w:t>
        </w:r>
        <w:r w:rsidR="00427FB0" w:rsidRPr="00562BD8">
          <w:rPr>
            <w:rFonts w:eastAsia="標楷體"/>
            <w:b/>
            <w:noProof/>
            <w:webHidden/>
          </w:rPr>
          <w:tab/>
        </w:r>
        <w:r w:rsidR="00562BD8" w:rsidRPr="00562BD8">
          <w:rPr>
            <w:rFonts w:eastAsia="標楷體"/>
            <w:b/>
            <w:noProof/>
            <w:webHidden/>
          </w:rPr>
          <w:t>伍</w:t>
        </w:r>
        <w:r w:rsidR="00562BD8" w:rsidRPr="00562BD8">
          <w:rPr>
            <w:rFonts w:eastAsia="標楷體"/>
            <w:b/>
            <w:noProof/>
            <w:webHidden/>
          </w:rPr>
          <w:t>-</w:t>
        </w:r>
        <w:r w:rsidR="00427FB0" w:rsidRPr="00562BD8">
          <w:rPr>
            <w:rFonts w:eastAsia="標楷體"/>
            <w:b/>
            <w:noProof/>
            <w:webHidden/>
          </w:rPr>
          <w:fldChar w:fldCharType="begin"/>
        </w:r>
        <w:r w:rsidR="00427FB0" w:rsidRPr="00562BD8">
          <w:rPr>
            <w:rFonts w:eastAsia="標楷體"/>
            <w:b/>
            <w:noProof/>
            <w:webHidden/>
          </w:rPr>
          <w:instrText xml:space="preserve"> PAGEREF _Toc378767220 \h </w:instrText>
        </w:r>
        <w:r w:rsidR="00427FB0" w:rsidRPr="00562BD8">
          <w:rPr>
            <w:rFonts w:eastAsia="標楷體"/>
            <w:b/>
            <w:noProof/>
            <w:webHidden/>
          </w:rPr>
        </w:r>
        <w:r w:rsidR="00427FB0" w:rsidRPr="00562BD8">
          <w:rPr>
            <w:rFonts w:eastAsia="標楷體"/>
            <w:b/>
            <w:noProof/>
            <w:webHidden/>
          </w:rPr>
          <w:fldChar w:fldCharType="separate"/>
        </w:r>
        <w:r w:rsidR="000E552F" w:rsidRPr="00562BD8">
          <w:rPr>
            <w:rFonts w:eastAsia="標楷體"/>
            <w:b/>
            <w:noProof/>
            <w:webHidden/>
          </w:rPr>
          <w:t>12</w:t>
        </w:r>
        <w:r w:rsidR="00427FB0" w:rsidRPr="00562BD8">
          <w:rPr>
            <w:rFonts w:eastAsia="標楷體"/>
            <w:b/>
            <w:noProof/>
            <w:webHidden/>
          </w:rPr>
          <w:fldChar w:fldCharType="end"/>
        </w:r>
      </w:hyperlink>
    </w:p>
    <w:p w:rsidR="00427FB0" w:rsidRPr="00562BD8" w:rsidRDefault="003B2DA0" w:rsidP="00562BD8">
      <w:pPr>
        <w:pStyle w:val="21"/>
        <w:tabs>
          <w:tab w:val="clear" w:pos="8647"/>
          <w:tab w:val="left" w:leader="middleDot" w:pos="8224"/>
        </w:tabs>
        <w:ind w:firstLineChars="250" w:firstLine="700"/>
        <w:rPr>
          <w:rFonts w:eastAsia="標楷體"/>
          <w:b/>
          <w:noProof/>
          <w:sz w:val="24"/>
          <w:szCs w:val="22"/>
        </w:rPr>
      </w:pPr>
      <w:hyperlink w:anchor="_Toc378767221" w:history="1">
        <w:r w:rsidR="00427FB0" w:rsidRPr="00562BD8">
          <w:rPr>
            <w:rStyle w:val="a8"/>
            <w:b/>
            <w:noProof/>
          </w:rPr>
          <w:t>(</w:t>
        </w:r>
        <w:r w:rsidR="00427FB0" w:rsidRPr="00562BD8">
          <w:rPr>
            <w:rStyle w:val="a8"/>
            <w:b/>
            <w:noProof/>
          </w:rPr>
          <w:t>二</w:t>
        </w:r>
        <w:r w:rsidR="00427FB0" w:rsidRPr="00562BD8">
          <w:rPr>
            <w:rStyle w:val="a8"/>
            <w:b/>
            <w:noProof/>
          </w:rPr>
          <w:t xml:space="preserve">) </w:t>
        </w:r>
        <w:r w:rsidR="00427FB0" w:rsidRPr="00562BD8">
          <w:rPr>
            <w:rStyle w:val="a8"/>
            <w:b/>
            <w:noProof/>
          </w:rPr>
          <w:t>國民年金核付種類</w:t>
        </w:r>
        <w:r w:rsidR="00427FB0" w:rsidRPr="00562BD8">
          <w:rPr>
            <w:rFonts w:eastAsia="標楷體"/>
            <w:b/>
            <w:noProof/>
            <w:webHidden/>
          </w:rPr>
          <w:tab/>
        </w:r>
        <w:r w:rsidR="00562BD8" w:rsidRPr="00562BD8">
          <w:rPr>
            <w:rFonts w:eastAsia="標楷體"/>
            <w:b/>
            <w:noProof/>
            <w:webHidden/>
          </w:rPr>
          <w:t>伍</w:t>
        </w:r>
        <w:r w:rsidR="00562BD8" w:rsidRPr="00562BD8">
          <w:rPr>
            <w:rFonts w:eastAsia="標楷體"/>
            <w:b/>
            <w:noProof/>
            <w:webHidden/>
          </w:rPr>
          <w:t>-</w:t>
        </w:r>
        <w:r w:rsidR="00427FB0" w:rsidRPr="00562BD8">
          <w:rPr>
            <w:rFonts w:eastAsia="標楷體"/>
            <w:b/>
            <w:noProof/>
            <w:webHidden/>
          </w:rPr>
          <w:fldChar w:fldCharType="begin"/>
        </w:r>
        <w:r w:rsidR="00427FB0" w:rsidRPr="00562BD8">
          <w:rPr>
            <w:rFonts w:eastAsia="標楷體"/>
            <w:b/>
            <w:noProof/>
            <w:webHidden/>
          </w:rPr>
          <w:instrText xml:space="preserve"> PAGEREF _Toc378767221 \h </w:instrText>
        </w:r>
        <w:r w:rsidR="00427FB0" w:rsidRPr="00562BD8">
          <w:rPr>
            <w:rFonts w:eastAsia="標楷體"/>
            <w:b/>
            <w:noProof/>
            <w:webHidden/>
          </w:rPr>
        </w:r>
        <w:r w:rsidR="00427FB0" w:rsidRPr="00562BD8">
          <w:rPr>
            <w:rFonts w:eastAsia="標楷體"/>
            <w:b/>
            <w:noProof/>
            <w:webHidden/>
          </w:rPr>
          <w:fldChar w:fldCharType="separate"/>
        </w:r>
        <w:r w:rsidR="000E552F" w:rsidRPr="00562BD8">
          <w:rPr>
            <w:rFonts w:eastAsia="標楷體"/>
            <w:b/>
            <w:noProof/>
            <w:webHidden/>
          </w:rPr>
          <w:t>13</w:t>
        </w:r>
        <w:r w:rsidR="00427FB0" w:rsidRPr="00562BD8">
          <w:rPr>
            <w:rFonts w:eastAsia="標楷體"/>
            <w:b/>
            <w:noProof/>
            <w:webHidden/>
          </w:rPr>
          <w:fldChar w:fldCharType="end"/>
        </w:r>
      </w:hyperlink>
    </w:p>
    <w:p w:rsidR="00E81834" w:rsidRDefault="00E81834" w:rsidP="00C86252">
      <w:pPr>
        <w:spacing w:line="500" w:lineRule="exact"/>
      </w:pPr>
      <w:r>
        <w:fldChar w:fldCharType="end"/>
      </w:r>
    </w:p>
    <w:p w:rsidR="00E81834" w:rsidRDefault="00E81834">
      <w:pPr>
        <w:snapToGrid w:val="0"/>
        <w:jc w:val="center"/>
        <w:rPr>
          <w:rFonts w:eastAsia="標楷體"/>
          <w:b/>
          <w:sz w:val="32"/>
          <w:szCs w:val="32"/>
        </w:rPr>
        <w:sectPr w:rsidR="00E81834" w:rsidSect="00132B46">
          <w:headerReference w:type="default" r:id="rId10"/>
          <w:type w:val="continuous"/>
          <w:pgSz w:w="11906" w:h="16838" w:code="9"/>
          <w:pgMar w:top="1021" w:right="849" w:bottom="1021" w:left="1134" w:header="851" w:footer="851" w:gutter="0"/>
          <w:cols w:space="425"/>
          <w:docGrid w:type="linesAndChars" w:linePitch="360"/>
        </w:sectPr>
      </w:pPr>
    </w:p>
    <w:p w:rsidR="009F2B31" w:rsidRPr="0060714E" w:rsidRDefault="009F2B31" w:rsidP="009F2B31">
      <w:pPr>
        <w:snapToGrid w:val="0"/>
        <w:jc w:val="center"/>
        <w:rPr>
          <w:rFonts w:eastAsia="標楷體"/>
          <w:b/>
          <w:bCs/>
          <w:sz w:val="32"/>
          <w:szCs w:val="32"/>
        </w:rPr>
      </w:pPr>
      <w:bookmarkStart w:id="0" w:name="_Toc305657214"/>
      <w:r>
        <w:rPr>
          <w:rFonts w:eastAsia="標楷體" w:hint="eastAsia"/>
          <w:b/>
          <w:sz w:val="32"/>
          <w:szCs w:val="32"/>
        </w:rPr>
        <w:lastRenderedPageBreak/>
        <w:t>伍</w:t>
      </w:r>
      <w:r w:rsidRPr="0060714E">
        <w:rPr>
          <w:rFonts w:eastAsia="標楷體" w:hint="eastAsia"/>
          <w:b/>
          <w:bCs/>
          <w:sz w:val="32"/>
          <w:szCs w:val="32"/>
        </w:rPr>
        <w:t>、</w:t>
      </w:r>
      <w:r>
        <w:rPr>
          <w:rFonts w:eastAsia="標楷體" w:hint="eastAsia"/>
          <w:b/>
          <w:bCs/>
          <w:sz w:val="32"/>
          <w:szCs w:val="32"/>
        </w:rPr>
        <w:t>社會福利</w:t>
      </w:r>
    </w:p>
    <w:p w:rsidR="002920CB" w:rsidRPr="00B74030" w:rsidRDefault="002920CB" w:rsidP="0038271A">
      <w:pPr>
        <w:pStyle w:val="22"/>
      </w:pPr>
      <w:bookmarkStart w:id="1" w:name="_Toc378767206"/>
      <w:r>
        <w:rPr>
          <w:rFonts w:hint="eastAsia"/>
          <w:lang w:val="x-none"/>
        </w:rPr>
        <w:t>一</w:t>
      </w:r>
      <w:r w:rsidRPr="00B74030">
        <w:rPr>
          <w:rFonts w:hint="eastAsia"/>
        </w:rPr>
        <w:t>、社會救助</w:t>
      </w:r>
      <w:bookmarkEnd w:id="1"/>
    </w:p>
    <w:p w:rsidR="002920CB" w:rsidRDefault="002920CB" w:rsidP="002920CB">
      <w:pPr>
        <w:pStyle w:val="2"/>
        <w:snapToGrid w:val="0"/>
        <w:spacing w:line="240" w:lineRule="auto"/>
        <w:ind w:firstLine="284"/>
        <w:rPr>
          <w:rFonts w:ascii="Times New Roman" w:eastAsia="標楷體" w:hAnsi="Times New Roman"/>
          <w:sz w:val="28"/>
          <w:lang w:val="x-none"/>
        </w:rPr>
      </w:pPr>
      <w:bookmarkStart w:id="2" w:name="_Toc378767207"/>
      <w:r w:rsidRPr="004C7A0F">
        <w:rPr>
          <w:rFonts w:ascii="Times New Roman" w:eastAsia="標楷體" w:hAnsi="Times New Roman"/>
          <w:sz w:val="28"/>
        </w:rPr>
        <w:t>(</w:t>
      </w:r>
      <w:r w:rsidRPr="004C7A0F">
        <w:rPr>
          <w:rFonts w:ascii="Times New Roman" w:eastAsia="標楷體" w:hAnsi="Times New Roman" w:hint="eastAsia"/>
          <w:sz w:val="28"/>
        </w:rPr>
        <w:t>一</w:t>
      </w:r>
      <w:r w:rsidRPr="004C7A0F">
        <w:rPr>
          <w:rFonts w:ascii="Times New Roman" w:eastAsia="標楷體" w:hAnsi="Times New Roman"/>
          <w:sz w:val="28"/>
        </w:rPr>
        <w:t xml:space="preserve">) </w:t>
      </w:r>
      <w:r>
        <w:rPr>
          <w:rFonts w:ascii="Times New Roman" w:eastAsia="標楷體" w:hAnsi="Times New Roman" w:hint="eastAsia"/>
          <w:sz w:val="28"/>
          <w:lang w:val="x-none"/>
        </w:rPr>
        <w:t>低收入戶及中低收入戶</w:t>
      </w:r>
      <w:bookmarkEnd w:id="2"/>
    </w:p>
    <w:p w:rsidR="005E5B9F" w:rsidRPr="005E5B9F" w:rsidRDefault="005E5B9F" w:rsidP="005E5B9F">
      <w:pPr>
        <w:rPr>
          <w:rFonts w:eastAsia="標楷體"/>
          <w:b/>
          <w:bCs/>
          <w:lang w:val="x-none"/>
        </w:rPr>
      </w:pPr>
      <w:r>
        <w:rPr>
          <w:rFonts w:hint="eastAsia"/>
          <w:lang w:val="x-none"/>
        </w:rPr>
        <w:t xml:space="preserve">    1.</w:t>
      </w:r>
      <w:r w:rsidRPr="005E5B9F">
        <w:rPr>
          <w:rFonts w:eastAsia="標楷體" w:hint="eastAsia"/>
          <w:b/>
          <w:bCs/>
          <w:lang w:val="x-none"/>
        </w:rPr>
        <w:t>縣市別低收及中低受入</w:t>
      </w:r>
      <w:r>
        <w:rPr>
          <w:rFonts w:eastAsia="標楷體" w:hint="eastAsia"/>
          <w:b/>
          <w:bCs/>
          <w:lang w:val="x-none"/>
        </w:rPr>
        <w:t>戶數與人口數概況</w:t>
      </w:r>
    </w:p>
    <w:p w:rsidR="002920CB" w:rsidRPr="005E5B9F" w:rsidRDefault="002920CB" w:rsidP="002920CB">
      <w:pPr>
        <w:rPr>
          <w:rFonts w:eastAsia="標楷體"/>
          <w:b/>
          <w:bCs/>
          <w:lang w:val="x-none"/>
        </w:rPr>
      </w:pPr>
      <w:r w:rsidRPr="005E5B9F">
        <w:rPr>
          <w:rFonts w:hint="eastAsia"/>
          <w:lang w:val="x-none"/>
        </w:rPr>
        <w:t xml:space="preserve">     </w:t>
      </w:r>
      <w:r w:rsidRPr="005E5B9F">
        <w:rPr>
          <w:rFonts w:eastAsia="標楷體" w:hint="eastAsia"/>
          <w:b/>
          <w:bCs/>
          <w:lang w:val="x-none"/>
        </w:rPr>
        <w:t>101</w:t>
      </w:r>
      <w:r w:rsidRPr="005E5B9F">
        <w:rPr>
          <w:rFonts w:eastAsia="標楷體" w:hint="eastAsia"/>
          <w:b/>
          <w:bCs/>
          <w:lang w:val="x-none"/>
        </w:rPr>
        <w:t>年全國低收及中低受入戶計有</w:t>
      </w:r>
      <w:r w:rsidR="00E23A2A" w:rsidRPr="005E5B9F">
        <w:rPr>
          <w:rFonts w:eastAsia="標楷體" w:hint="eastAsia"/>
          <w:b/>
          <w:bCs/>
          <w:lang w:val="x-none"/>
        </w:rPr>
        <w:t>23</w:t>
      </w:r>
      <w:r w:rsidR="00E23A2A" w:rsidRPr="005E5B9F">
        <w:rPr>
          <w:rFonts w:eastAsia="標楷體" w:hint="eastAsia"/>
          <w:b/>
          <w:bCs/>
          <w:lang w:val="x-none"/>
        </w:rPr>
        <w:t>萬</w:t>
      </w:r>
      <w:r w:rsidR="00E23A2A" w:rsidRPr="005E5B9F">
        <w:rPr>
          <w:rFonts w:eastAsia="標楷體" w:hint="eastAsia"/>
          <w:b/>
          <w:bCs/>
          <w:lang w:val="x-none"/>
        </w:rPr>
        <w:t>4</w:t>
      </w:r>
      <w:r w:rsidR="00E23A2A" w:rsidRPr="005E5B9F">
        <w:rPr>
          <w:rFonts w:eastAsia="標楷體"/>
          <w:b/>
          <w:bCs/>
          <w:lang w:val="x-none"/>
        </w:rPr>
        <w:t>,6</w:t>
      </w:r>
      <w:r w:rsidR="00E23A2A" w:rsidRPr="005E5B9F">
        <w:rPr>
          <w:rFonts w:eastAsia="標楷體" w:hint="eastAsia"/>
          <w:b/>
          <w:bCs/>
          <w:lang w:val="x-none"/>
        </w:rPr>
        <w:t>01</w:t>
      </w:r>
      <w:r w:rsidR="00E23A2A" w:rsidRPr="005E5B9F">
        <w:rPr>
          <w:rFonts w:eastAsia="標楷體" w:hint="eastAsia"/>
          <w:b/>
          <w:bCs/>
          <w:lang w:val="x-none"/>
        </w:rPr>
        <w:t>戶及</w:t>
      </w:r>
      <w:r w:rsidR="00E23A2A" w:rsidRPr="005E5B9F">
        <w:rPr>
          <w:rFonts w:eastAsia="標楷體" w:hint="eastAsia"/>
          <w:b/>
          <w:bCs/>
          <w:lang w:val="x-none"/>
        </w:rPr>
        <w:t>63</w:t>
      </w:r>
      <w:r w:rsidR="00E23A2A" w:rsidRPr="005E5B9F">
        <w:rPr>
          <w:rFonts w:eastAsia="標楷體" w:hint="eastAsia"/>
          <w:b/>
          <w:bCs/>
          <w:lang w:val="x-none"/>
        </w:rPr>
        <w:t>萬</w:t>
      </w:r>
      <w:r w:rsidR="00E23A2A" w:rsidRPr="005E5B9F">
        <w:rPr>
          <w:rFonts w:eastAsia="標楷體" w:hint="eastAsia"/>
          <w:b/>
          <w:bCs/>
          <w:lang w:val="x-none"/>
        </w:rPr>
        <w:t>9</w:t>
      </w:r>
      <w:r w:rsidR="00E23A2A" w:rsidRPr="005E5B9F">
        <w:rPr>
          <w:rFonts w:eastAsia="標楷體"/>
          <w:b/>
          <w:bCs/>
          <w:lang w:val="x-none"/>
        </w:rPr>
        <w:t>,4</w:t>
      </w:r>
      <w:r w:rsidR="00E23A2A" w:rsidRPr="005E5B9F">
        <w:rPr>
          <w:rFonts w:eastAsia="標楷體" w:hint="eastAsia"/>
          <w:b/>
          <w:bCs/>
          <w:lang w:val="x-none"/>
        </w:rPr>
        <w:t>65</w:t>
      </w:r>
      <w:r w:rsidR="00E23A2A" w:rsidRPr="005E5B9F">
        <w:rPr>
          <w:rFonts w:eastAsia="標楷體" w:hint="eastAsia"/>
          <w:b/>
          <w:bCs/>
          <w:lang w:val="x-none"/>
        </w:rPr>
        <w:t>人</w:t>
      </w:r>
    </w:p>
    <w:p w:rsidR="002920CB" w:rsidRPr="00E23A2A" w:rsidRDefault="00E23A2A" w:rsidP="00E23A2A">
      <w:pPr>
        <w:widowControl/>
        <w:jc w:val="right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 xml:space="preserve">            </w:t>
      </w:r>
      <w:r w:rsidR="009F2B31" w:rsidRPr="00E23A2A">
        <w:rPr>
          <w:rFonts w:ascii="標楷體" w:eastAsia="標楷體" w:hAnsi="標楷體" w:hint="eastAsia"/>
          <w:sz w:val="20"/>
          <w:szCs w:val="20"/>
        </w:rPr>
        <w:t>低收入戶及中低收入戶數占總戶數比率</w:t>
      </w:r>
      <w:r w:rsidR="009F2B31">
        <w:rPr>
          <w:rFonts w:ascii="標楷體" w:eastAsia="標楷體" w:hAnsi="標楷體" w:hint="eastAsia"/>
          <w:sz w:val="20"/>
          <w:szCs w:val="20"/>
        </w:rPr>
        <w:t xml:space="preserve">              </w:t>
      </w:r>
      <w:r w:rsidRPr="00E23A2A">
        <w:rPr>
          <w:rFonts w:ascii="標楷體" w:eastAsia="標楷體" w:hAnsi="標楷體" w:hint="eastAsia"/>
          <w:sz w:val="20"/>
          <w:szCs w:val="20"/>
        </w:rPr>
        <w:t>低收入戶及中低收入人數占總人口數比率</w:t>
      </w:r>
    </w:p>
    <w:p w:rsidR="002920CB" w:rsidRPr="00ED50F3" w:rsidRDefault="006E71E2" w:rsidP="002920CB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w:drawing>
          <wp:inline distT="0" distB="0" distL="0" distR="0" wp14:anchorId="1BF3C4F6" wp14:editId="71D7CF2F">
            <wp:extent cx="6154146" cy="3276600"/>
            <wp:effectExtent l="0" t="0" r="0" b="0"/>
            <wp:docPr id="56837" name="圖片 56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146" cy="327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F2B31" w:rsidRDefault="009F2B31" w:rsidP="009F2B31">
      <w:pPr>
        <w:ind w:leftChars="354" w:left="850"/>
        <w:rPr>
          <w:rFonts w:eastAsia="標楷體"/>
        </w:rPr>
      </w:pPr>
    </w:p>
    <w:p w:rsidR="009F2B31" w:rsidRDefault="009F2B31" w:rsidP="009F2B31">
      <w:pPr>
        <w:ind w:leftChars="354" w:left="850"/>
        <w:rPr>
          <w:rFonts w:eastAsia="標楷體"/>
        </w:rPr>
      </w:pPr>
    </w:p>
    <w:p w:rsidR="002920CB" w:rsidRDefault="00EA0575" w:rsidP="005E5B9F">
      <w:pPr>
        <w:widowControl/>
        <w:ind w:firstLineChars="200" w:firstLine="480"/>
        <w:jc w:val="both"/>
        <w:rPr>
          <w:rFonts w:eastAsia="標楷體"/>
        </w:rPr>
      </w:pPr>
      <w:r w:rsidRPr="00FB1AA7">
        <w:rPr>
          <w:rFonts w:eastAsia="標楷體" w:hint="eastAsia"/>
        </w:rPr>
        <w:t>社會救助法係為照顧低收入、中低收入戶及救助遭受急難或災害者，並協助其自立。</w:t>
      </w:r>
      <w:r w:rsidRPr="00FB1AA7">
        <w:rPr>
          <w:rFonts w:eastAsia="標楷體"/>
        </w:rPr>
        <w:t>100</w:t>
      </w:r>
      <w:r w:rsidRPr="00FB1AA7">
        <w:rPr>
          <w:rFonts w:eastAsia="標楷體" w:hint="eastAsia"/>
        </w:rPr>
        <w:t>年</w:t>
      </w:r>
      <w:r w:rsidRPr="00FB1AA7">
        <w:rPr>
          <w:rFonts w:eastAsia="標楷體"/>
        </w:rPr>
        <w:t>7</w:t>
      </w:r>
      <w:r w:rsidRPr="00FB1AA7">
        <w:rPr>
          <w:rFonts w:eastAsia="標楷體" w:hint="eastAsia"/>
        </w:rPr>
        <w:t>月起為擴大照顧經濟弱勢者，除照顧「低收入戶」外，政府放寬最低生活費及審核門檻，並將中低收入戶納入社會救助法保障，讓社會福利更有效照顧社會弱勢，主動通知可能符合對象相關措施訊息，透過學校、原住民單位及媒體等多元管道進行宣導，主動發掘有需求之弱勢家庭，運用社會資源及多元措施協助自立脫貧。</w:t>
      </w:r>
    </w:p>
    <w:p w:rsidR="00EA0575" w:rsidRDefault="00EA0575" w:rsidP="005E5B9F">
      <w:pPr>
        <w:widowControl/>
        <w:spacing w:beforeLines="50" w:before="180"/>
        <w:ind w:firstLineChars="200" w:firstLine="480"/>
        <w:jc w:val="both"/>
        <w:rPr>
          <w:rFonts w:eastAsia="標楷體"/>
        </w:rPr>
      </w:pPr>
      <w:r w:rsidRPr="00EA0575">
        <w:rPr>
          <w:rFonts w:eastAsia="標楷體" w:hint="eastAsia"/>
        </w:rPr>
        <w:t>101</w:t>
      </w:r>
      <w:r w:rsidRPr="00EA0575">
        <w:rPr>
          <w:rFonts w:eastAsia="標楷體" w:hint="eastAsia"/>
        </w:rPr>
        <w:t>年全國低收及中低</w:t>
      </w:r>
      <w:r w:rsidR="006E71E2">
        <w:rPr>
          <w:rFonts w:eastAsia="標楷體" w:hint="eastAsia"/>
        </w:rPr>
        <w:t>收</w:t>
      </w:r>
      <w:r w:rsidRPr="00EA0575">
        <w:rPr>
          <w:rFonts w:eastAsia="標楷體" w:hint="eastAsia"/>
        </w:rPr>
        <w:t>入戶計有</w:t>
      </w:r>
      <w:r w:rsidRPr="00EA0575">
        <w:rPr>
          <w:rFonts w:eastAsia="標楷體" w:hint="eastAsia"/>
        </w:rPr>
        <w:t>23</w:t>
      </w:r>
      <w:r w:rsidRPr="00EA0575">
        <w:rPr>
          <w:rFonts w:eastAsia="標楷體" w:hint="eastAsia"/>
        </w:rPr>
        <w:t>萬</w:t>
      </w:r>
      <w:r w:rsidRPr="00EA0575">
        <w:rPr>
          <w:rFonts w:eastAsia="標楷體" w:hint="eastAsia"/>
        </w:rPr>
        <w:t>4</w:t>
      </w:r>
      <w:r w:rsidRPr="00EA0575">
        <w:rPr>
          <w:rFonts w:eastAsia="標楷體"/>
        </w:rPr>
        <w:t>,6</w:t>
      </w:r>
      <w:r w:rsidRPr="00EA0575">
        <w:rPr>
          <w:rFonts w:eastAsia="標楷體" w:hint="eastAsia"/>
        </w:rPr>
        <w:t>01</w:t>
      </w:r>
      <w:r w:rsidRPr="00EA0575">
        <w:rPr>
          <w:rFonts w:eastAsia="標楷體" w:hint="eastAsia"/>
        </w:rPr>
        <w:t>戶及</w:t>
      </w:r>
      <w:r w:rsidRPr="00EA0575">
        <w:rPr>
          <w:rFonts w:eastAsia="標楷體" w:hint="eastAsia"/>
        </w:rPr>
        <w:t>63</w:t>
      </w:r>
      <w:r w:rsidRPr="00EA0575">
        <w:rPr>
          <w:rFonts w:eastAsia="標楷體" w:hint="eastAsia"/>
        </w:rPr>
        <w:t>萬</w:t>
      </w:r>
      <w:r w:rsidRPr="00EA0575">
        <w:rPr>
          <w:rFonts w:eastAsia="標楷體" w:hint="eastAsia"/>
        </w:rPr>
        <w:t>9</w:t>
      </w:r>
      <w:r w:rsidRPr="00EA0575">
        <w:rPr>
          <w:rFonts w:eastAsia="標楷體"/>
        </w:rPr>
        <w:t>,4</w:t>
      </w:r>
      <w:r w:rsidRPr="00EA0575">
        <w:rPr>
          <w:rFonts w:eastAsia="標楷體" w:hint="eastAsia"/>
        </w:rPr>
        <w:t>65</w:t>
      </w:r>
      <w:r w:rsidRPr="00EA0575">
        <w:rPr>
          <w:rFonts w:eastAsia="標楷體" w:hint="eastAsia"/>
        </w:rPr>
        <w:t>人</w:t>
      </w:r>
      <w:r w:rsidRPr="00FB1AA7">
        <w:rPr>
          <w:rFonts w:eastAsia="標楷體" w:hint="eastAsia"/>
        </w:rPr>
        <w:t>，</w:t>
      </w:r>
      <w:r w:rsidR="00D4796A">
        <w:rPr>
          <w:rFonts w:eastAsia="標楷體" w:hint="eastAsia"/>
        </w:rPr>
        <w:t>經換算後為</w:t>
      </w:r>
      <w:r w:rsidR="00D4796A" w:rsidRPr="00EA0575">
        <w:rPr>
          <w:rFonts w:eastAsia="標楷體" w:hint="eastAsia"/>
        </w:rPr>
        <w:t>全國</w:t>
      </w:r>
      <w:r w:rsidR="00D4796A">
        <w:rPr>
          <w:rFonts w:eastAsia="標楷體" w:hint="eastAsia"/>
        </w:rPr>
        <w:t>每百戶有</w:t>
      </w:r>
      <w:r w:rsidR="00172567">
        <w:rPr>
          <w:rFonts w:eastAsia="標楷體" w:hint="eastAsia"/>
        </w:rPr>
        <w:t>2.</w:t>
      </w:r>
      <w:r w:rsidR="007E2D8F">
        <w:rPr>
          <w:rFonts w:eastAsia="標楷體" w:hint="eastAsia"/>
        </w:rPr>
        <w:t>9</w:t>
      </w:r>
      <w:r w:rsidR="00D4796A">
        <w:rPr>
          <w:rFonts w:eastAsia="標楷體" w:hint="eastAsia"/>
        </w:rPr>
        <w:t>戶及每百人口有</w:t>
      </w:r>
      <w:r w:rsidR="00D4796A">
        <w:rPr>
          <w:rFonts w:eastAsia="標楷體" w:hint="eastAsia"/>
        </w:rPr>
        <w:t>2.7</w:t>
      </w:r>
      <w:r w:rsidR="00D4796A">
        <w:rPr>
          <w:rFonts w:eastAsia="標楷體" w:hint="eastAsia"/>
        </w:rPr>
        <w:t>人</w:t>
      </w:r>
      <w:r w:rsidR="00D4796A" w:rsidRPr="00FB1AA7">
        <w:rPr>
          <w:rFonts w:eastAsia="標楷體" w:hint="eastAsia"/>
        </w:rPr>
        <w:t>。</w:t>
      </w:r>
    </w:p>
    <w:p w:rsidR="00172567" w:rsidRPr="00EA0575" w:rsidRDefault="00172567" w:rsidP="005E5B9F">
      <w:pPr>
        <w:widowControl/>
        <w:spacing w:beforeLines="50" w:before="180"/>
        <w:ind w:firstLineChars="200" w:firstLine="480"/>
        <w:jc w:val="both"/>
        <w:rPr>
          <w:rFonts w:eastAsia="標楷體"/>
        </w:rPr>
      </w:pPr>
      <w:r>
        <w:rPr>
          <w:rFonts w:eastAsia="標楷體" w:hint="eastAsia"/>
        </w:rPr>
        <w:t>若比較縣市之每百</w:t>
      </w:r>
      <w:r w:rsidRPr="00EA0575">
        <w:rPr>
          <w:rFonts w:eastAsia="標楷體" w:hint="eastAsia"/>
        </w:rPr>
        <w:t>低收及中低</w:t>
      </w:r>
      <w:r w:rsidR="006E71E2">
        <w:rPr>
          <w:rFonts w:eastAsia="標楷體" w:hint="eastAsia"/>
        </w:rPr>
        <w:t>收</w:t>
      </w:r>
      <w:r w:rsidRPr="00EA0575">
        <w:rPr>
          <w:rFonts w:eastAsia="標楷體" w:hint="eastAsia"/>
        </w:rPr>
        <w:t>入</w:t>
      </w:r>
      <w:r>
        <w:rPr>
          <w:rFonts w:eastAsia="標楷體" w:hint="eastAsia"/>
        </w:rPr>
        <w:t>戶占率</w:t>
      </w:r>
      <w:r w:rsidRPr="00FB1AA7">
        <w:rPr>
          <w:rFonts w:eastAsia="標楷體" w:hint="eastAsia"/>
        </w:rPr>
        <w:t>，</w:t>
      </w:r>
      <w:r w:rsidRPr="003D4801">
        <w:rPr>
          <w:rFonts w:eastAsia="標楷體" w:hint="eastAsia"/>
        </w:rPr>
        <w:t>以</w:t>
      </w:r>
      <w:r w:rsidR="006E71E2">
        <w:rPr>
          <w:rFonts w:eastAsia="標楷體" w:hint="eastAsia"/>
        </w:rPr>
        <w:t>澎湖</w:t>
      </w:r>
      <w:r w:rsidR="006E71E2" w:rsidRPr="003D4801">
        <w:rPr>
          <w:rFonts w:eastAsia="標楷體" w:hint="eastAsia"/>
        </w:rPr>
        <w:t>縣</w:t>
      </w:r>
      <w:r w:rsidRPr="003D4801">
        <w:rPr>
          <w:rFonts w:eastAsia="標楷體" w:hint="eastAsia"/>
        </w:rPr>
        <w:t>及</w:t>
      </w:r>
      <w:r w:rsidR="006E71E2" w:rsidRPr="003D4801">
        <w:rPr>
          <w:rFonts w:eastAsia="標楷體" w:hint="eastAsia"/>
        </w:rPr>
        <w:t>臺東縣</w:t>
      </w:r>
      <w:r w:rsidRPr="003D4801">
        <w:rPr>
          <w:rFonts w:eastAsia="標楷體" w:hint="eastAsia"/>
        </w:rPr>
        <w:t>分別為</w:t>
      </w:r>
      <w:r w:rsidR="006E71E2">
        <w:rPr>
          <w:rFonts w:eastAsia="標楷體" w:hint="eastAsia"/>
        </w:rPr>
        <w:t>7.</w:t>
      </w:r>
      <w:r w:rsidR="007E2D8F">
        <w:rPr>
          <w:rFonts w:eastAsia="標楷體" w:hint="eastAsia"/>
        </w:rPr>
        <w:t>4</w:t>
      </w:r>
      <w:r>
        <w:rPr>
          <w:rFonts w:eastAsia="標楷體" w:hint="eastAsia"/>
        </w:rPr>
        <w:t>戶</w:t>
      </w:r>
      <w:r w:rsidRPr="003D4801">
        <w:rPr>
          <w:rFonts w:eastAsia="標楷體" w:hint="eastAsia"/>
        </w:rPr>
        <w:t>及</w:t>
      </w:r>
      <w:r w:rsidR="007E2D8F">
        <w:rPr>
          <w:rFonts w:eastAsia="標楷體" w:hint="eastAsia"/>
        </w:rPr>
        <w:t>7.0</w:t>
      </w:r>
      <w:r>
        <w:rPr>
          <w:rFonts w:eastAsia="標楷體" w:hint="eastAsia"/>
        </w:rPr>
        <w:t>戶</w:t>
      </w:r>
      <w:r w:rsidRPr="003D4801">
        <w:rPr>
          <w:rFonts w:eastAsia="標楷體" w:hint="eastAsia"/>
        </w:rPr>
        <w:t>為最高，</w:t>
      </w:r>
      <w:r>
        <w:rPr>
          <w:rFonts w:eastAsia="標楷體" w:hint="eastAsia"/>
        </w:rPr>
        <w:t>桃園</w:t>
      </w:r>
      <w:r w:rsidRPr="003D4801">
        <w:rPr>
          <w:rFonts w:eastAsia="標楷體" w:hint="eastAsia"/>
        </w:rPr>
        <w:t>縣</w:t>
      </w:r>
      <w:r>
        <w:rPr>
          <w:rFonts w:eastAsia="標楷體" w:hint="eastAsia"/>
        </w:rPr>
        <w:t>之</w:t>
      </w:r>
      <w:r w:rsidR="006E71E2">
        <w:rPr>
          <w:rFonts w:eastAsia="標楷體" w:hint="eastAsia"/>
        </w:rPr>
        <w:t>1.</w:t>
      </w:r>
      <w:r w:rsidR="007E2D8F">
        <w:rPr>
          <w:rFonts w:eastAsia="標楷體" w:hint="eastAsia"/>
        </w:rPr>
        <w:t>1</w:t>
      </w:r>
      <w:r>
        <w:rPr>
          <w:rFonts w:eastAsia="標楷體" w:hint="eastAsia"/>
        </w:rPr>
        <w:t>戶</w:t>
      </w:r>
      <w:r w:rsidRPr="003D4801">
        <w:rPr>
          <w:rFonts w:eastAsia="標楷體" w:hint="eastAsia"/>
        </w:rPr>
        <w:t>為最低。</w:t>
      </w:r>
    </w:p>
    <w:p w:rsidR="009F2B31" w:rsidRDefault="00172567" w:rsidP="005E5B9F">
      <w:pPr>
        <w:widowControl/>
        <w:spacing w:beforeLines="50" w:before="180"/>
        <w:ind w:firstLineChars="200" w:firstLine="480"/>
        <w:jc w:val="both"/>
        <w:rPr>
          <w:lang w:val="x-none"/>
        </w:rPr>
      </w:pPr>
      <w:r>
        <w:rPr>
          <w:rFonts w:eastAsia="標楷體" w:hint="eastAsia"/>
        </w:rPr>
        <w:t>若比較縣市之每百</w:t>
      </w:r>
      <w:r w:rsidRPr="00EA0575">
        <w:rPr>
          <w:rFonts w:eastAsia="標楷體" w:hint="eastAsia"/>
        </w:rPr>
        <w:t>低收及中低</w:t>
      </w:r>
      <w:r w:rsidR="006E71E2">
        <w:rPr>
          <w:rFonts w:eastAsia="標楷體" w:hint="eastAsia"/>
        </w:rPr>
        <w:t>收</w:t>
      </w:r>
      <w:r w:rsidRPr="00EA0575">
        <w:rPr>
          <w:rFonts w:eastAsia="標楷體" w:hint="eastAsia"/>
        </w:rPr>
        <w:t>入</w:t>
      </w:r>
      <w:r>
        <w:rPr>
          <w:rFonts w:eastAsia="標楷體" w:hint="eastAsia"/>
        </w:rPr>
        <w:t>人口占率</w:t>
      </w:r>
      <w:r w:rsidRPr="00FB1AA7">
        <w:rPr>
          <w:rFonts w:eastAsia="標楷體" w:hint="eastAsia"/>
        </w:rPr>
        <w:t>，</w:t>
      </w:r>
      <w:r w:rsidRPr="003D4801">
        <w:rPr>
          <w:rFonts w:eastAsia="標楷體" w:hint="eastAsia"/>
        </w:rPr>
        <w:t>以臺東縣及屏東縣分別為</w:t>
      </w:r>
      <w:r w:rsidRPr="003D4801">
        <w:rPr>
          <w:rFonts w:eastAsia="標楷體"/>
        </w:rPr>
        <w:t>7.4</w:t>
      </w:r>
      <w:r>
        <w:rPr>
          <w:rFonts w:eastAsia="標楷體" w:hint="eastAsia"/>
        </w:rPr>
        <w:t>人</w:t>
      </w:r>
      <w:r w:rsidRPr="003D4801">
        <w:rPr>
          <w:rFonts w:eastAsia="標楷體" w:hint="eastAsia"/>
        </w:rPr>
        <w:t>及</w:t>
      </w:r>
      <w:r w:rsidRPr="003D4801">
        <w:rPr>
          <w:rFonts w:eastAsia="標楷體"/>
        </w:rPr>
        <w:t>6.9</w:t>
      </w:r>
      <w:r>
        <w:rPr>
          <w:rFonts w:eastAsia="標楷體" w:hint="eastAsia"/>
        </w:rPr>
        <w:t>人</w:t>
      </w:r>
      <w:r w:rsidRPr="003D4801">
        <w:rPr>
          <w:rFonts w:eastAsia="標楷體" w:hint="eastAsia"/>
        </w:rPr>
        <w:t>為最高，金門縣</w:t>
      </w:r>
      <w:r>
        <w:rPr>
          <w:rFonts w:eastAsia="標楷體" w:hint="eastAsia"/>
        </w:rPr>
        <w:t>之</w:t>
      </w:r>
      <w:r w:rsidRPr="003D4801">
        <w:rPr>
          <w:rFonts w:eastAsia="標楷體"/>
        </w:rPr>
        <w:t>0.8</w:t>
      </w:r>
      <w:r>
        <w:rPr>
          <w:rFonts w:eastAsia="標楷體" w:hint="eastAsia"/>
        </w:rPr>
        <w:t>人</w:t>
      </w:r>
      <w:r w:rsidRPr="003D4801">
        <w:rPr>
          <w:rFonts w:eastAsia="標楷體" w:hint="eastAsia"/>
        </w:rPr>
        <w:t>為最低。</w:t>
      </w:r>
      <w:r w:rsidR="009F2B31">
        <w:rPr>
          <w:lang w:val="x-none"/>
        </w:rPr>
        <w:br w:type="page"/>
      </w:r>
    </w:p>
    <w:p w:rsidR="005E5B9F" w:rsidRPr="005E5B9F" w:rsidRDefault="009F2B31" w:rsidP="005E5B9F">
      <w:pPr>
        <w:rPr>
          <w:rFonts w:eastAsia="標楷體"/>
          <w:b/>
          <w:bCs/>
          <w:lang w:val="x-none"/>
        </w:rPr>
      </w:pPr>
      <w:r>
        <w:rPr>
          <w:rFonts w:hint="eastAsia"/>
          <w:lang w:val="x-none"/>
        </w:rPr>
        <w:lastRenderedPageBreak/>
        <w:t xml:space="preserve"> </w:t>
      </w:r>
      <w:r w:rsidR="005E5B9F">
        <w:rPr>
          <w:rFonts w:hint="eastAsia"/>
          <w:lang w:val="x-none"/>
        </w:rPr>
        <w:t xml:space="preserve">     2.</w:t>
      </w:r>
      <w:r w:rsidR="005E5B9F">
        <w:rPr>
          <w:rFonts w:eastAsia="標楷體" w:hint="eastAsia"/>
          <w:b/>
          <w:bCs/>
          <w:lang w:val="x-none"/>
        </w:rPr>
        <w:t>歷年</w:t>
      </w:r>
      <w:r w:rsidR="005E5B9F" w:rsidRPr="005E5B9F">
        <w:rPr>
          <w:rFonts w:eastAsia="標楷體" w:hint="eastAsia"/>
          <w:b/>
          <w:bCs/>
          <w:lang w:val="x-none"/>
        </w:rPr>
        <w:t>低收及中低受入</w:t>
      </w:r>
      <w:r w:rsidR="005E5B9F">
        <w:rPr>
          <w:rFonts w:eastAsia="標楷體" w:hint="eastAsia"/>
          <w:b/>
          <w:bCs/>
          <w:lang w:val="x-none"/>
        </w:rPr>
        <w:t>戶數與人口數概況</w:t>
      </w:r>
    </w:p>
    <w:p w:rsidR="009F2B31" w:rsidRPr="005E5B9F" w:rsidRDefault="005E5B9F" w:rsidP="009F2B31">
      <w:pPr>
        <w:rPr>
          <w:rFonts w:eastAsia="標楷體"/>
          <w:b/>
          <w:bCs/>
          <w:lang w:val="x-none"/>
        </w:rPr>
      </w:pPr>
      <w:r w:rsidRPr="005E5B9F">
        <w:rPr>
          <w:rFonts w:hint="eastAsia"/>
          <w:lang w:val="x-none"/>
        </w:rPr>
        <w:t xml:space="preserve">   </w:t>
      </w:r>
      <w:r>
        <w:rPr>
          <w:rFonts w:hint="eastAsia"/>
          <w:lang w:val="x-none"/>
        </w:rPr>
        <w:t xml:space="preserve">   </w:t>
      </w:r>
      <w:r w:rsidRPr="005E5B9F">
        <w:rPr>
          <w:rFonts w:hint="eastAsia"/>
          <w:lang w:val="x-none"/>
        </w:rPr>
        <w:t xml:space="preserve">  </w:t>
      </w:r>
      <w:r w:rsidR="009F2B31" w:rsidRPr="005E5B9F">
        <w:rPr>
          <w:rFonts w:eastAsia="標楷體" w:hint="eastAsia"/>
          <w:b/>
          <w:bCs/>
          <w:lang w:val="x-none"/>
        </w:rPr>
        <w:t>101</w:t>
      </w:r>
      <w:r w:rsidR="009F2B31" w:rsidRPr="005E5B9F">
        <w:rPr>
          <w:rFonts w:eastAsia="標楷體" w:hint="eastAsia"/>
          <w:b/>
          <w:bCs/>
          <w:lang w:val="x-none"/>
        </w:rPr>
        <w:t>年低收入戶</w:t>
      </w:r>
      <w:r w:rsidR="009710A0" w:rsidRPr="005E5B9F">
        <w:rPr>
          <w:rFonts w:eastAsia="標楷體" w:hint="eastAsia"/>
          <w:b/>
          <w:bCs/>
          <w:lang w:val="x-none"/>
        </w:rPr>
        <w:t>較</w:t>
      </w:r>
      <w:r w:rsidR="007E2D8F">
        <w:rPr>
          <w:rFonts w:eastAsia="標楷體" w:hint="eastAsia"/>
          <w:b/>
          <w:bCs/>
          <w:lang w:val="x-none"/>
        </w:rPr>
        <w:t>100</w:t>
      </w:r>
      <w:r w:rsidR="009710A0" w:rsidRPr="005E5B9F">
        <w:rPr>
          <w:rFonts w:eastAsia="標楷體" w:hint="eastAsia"/>
          <w:b/>
          <w:bCs/>
          <w:lang w:val="x-none"/>
        </w:rPr>
        <w:t>年</w:t>
      </w:r>
      <w:r w:rsidR="00172567" w:rsidRPr="005E5B9F">
        <w:rPr>
          <w:rFonts w:eastAsia="標楷體" w:hint="eastAsia"/>
          <w:b/>
          <w:bCs/>
          <w:lang w:val="x-none"/>
        </w:rPr>
        <w:t>成長</w:t>
      </w:r>
      <w:r w:rsidR="00172567" w:rsidRPr="005E5B9F">
        <w:rPr>
          <w:rFonts w:eastAsia="標楷體" w:hint="eastAsia"/>
          <w:b/>
          <w:bCs/>
          <w:lang w:val="x-none"/>
        </w:rPr>
        <w:t>1</w:t>
      </w:r>
      <w:r w:rsidR="00172567" w:rsidRPr="005E5B9F">
        <w:rPr>
          <w:rFonts w:eastAsia="標楷體" w:hint="eastAsia"/>
          <w:b/>
          <w:bCs/>
          <w:lang w:val="x-none"/>
        </w:rPr>
        <w:t>成</w:t>
      </w:r>
    </w:p>
    <w:p w:rsidR="00E81834" w:rsidRDefault="00E81834" w:rsidP="00BA4377">
      <w:pPr>
        <w:widowControl/>
        <w:jc w:val="center"/>
        <w:rPr>
          <w:rFonts w:ascii="標楷體" w:eastAsia="標楷體" w:hAnsi="標楷體"/>
          <w:sz w:val="28"/>
          <w:szCs w:val="28"/>
        </w:rPr>
      </w:pPr>
      <w:r w:rsidRPr="00383F23">
        <w:rPr>
          <w:rFonts w:ascii="標楷體" w:eastAsia="標楷體" w:hAnsi="標楷體" w:hint="eastAsia"/>
          <w:sz w:val="28"/>
          <w:szCs w:val="28"/>
        </w:rPr>
        <w:t>歷年低收入戶</w:t>
      </w:r>
      <w:r>
        <w:rPr>
          <w:rFonts w:ascii="標楷體" w:eastAsia="標楷體" w:hAnsi="標楷體" w:hint="eastAsia"/>
          <w:sz w:val="28"/>
          <w:szCs w:val="28"/>
        </w:rPr>
        <w:t>概況</w:t>
      </w:r>
    </w:p>
    <w:p w:rsidR="0068572F" w:rsidRPr="00053D49" w:rsidRDefault="00DD4FB1" w:rsidP="00957066">
      <w:pPr>
        <w:jc w:val="center"/>
      </w:pPr>
      <w:r w:rsidRPr="00DD4FB1">
        <w:rPr>
          <w:noProof/>
        </w:rPr>
        <w:drawing>
          <wp:inline distT="0" distB="0" distL="0" distR="0" wp14:anchorId="7F34294B" wp14:editId="0F211FC1">
            <wp:extent cx="4819650" cy="1419225"/>
            <wp:effectExtent l="0" t="0" r="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066" w:rsidRDefault="00957066" w:rsidP="00B51259">
      <w:pPr>
        <w:jc w:val="both"/>
      </w:pPr>
    </w:p>
    <w:p w:rsidR="0096595F" w:rsidRPr="00383F23" w:rsidRDefault="0096595F" w:rsidP="0096595F">
      <w:pPr>
        <w:widowControl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近2</w:t>
      </w:r>
      <w:r w:rsidRPr="00383F23">
        <w:rPr>
          <w:rFonts w:ascii="標楷體" w:eastAsia="標楷體" w:hAnsi="標楷體" w:hint="eastAsia"/>
          <w:sz w:val="28"/>
          <w:szCs w:val="28"/>
        </w:rPr>
        <w:t>年中低收入</w:t>
      </w:r>
      <w:r>
        <w:rPr>
          <w:rFonts w:ascii="標楷體" w:eastAsia="標楷體" w:hAnsi="標楷體" w:hint="eastAsia"/>
          <w:sz w:val="28"/>
          <w:szCs w:val="28"/>
        </w:rPr>
        <w:t>戶概況</w:t>
      </w:r>
    </w:p>
    <w:p w:rsidR="0068572F" w:rsidRDefault="008F0D50" w:rsidP="00957066">
      <w:pPr>
        <w:jc w:val="center"/>
      </w:pPr>
      <w:r w:rsidRPr="00FB1AA7">
        <w:rPr>
          <w:rFonts w:ascii="標楷體" w:eastAsia="標楷體" w:hAnsi="標楷體"/>
          <w:noProof/>
        </w:rPr>
        <w:drawing>
          <wp:inline distT="0" distB="0" distL="0" distR="0" wp14:anchorId="04CBEC2F" wp14:editId="1E307BFA">
            <wp:extent cx="4267200" cy="2923309"/>
            <wp:effectExtent l="0" t="0" r="0" b="0"/>
            <wp:docPr id="140" name="圖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710A0" w:rsidRDefault="0030207A" w:rsidP="009710A0">
      <w:pPr>
        <w:widowControl/>
        <w:spacing w:beforeLines="100" w:before="360"/>
        <w:ind w:firstLineChars="200" w:firstLine="480"/>
        <w:jc w:val="both"/>
        <w:rPr>
          <w:rFonts w:eastAsia="標楷體"/>
        </w:rPr>
      </w:pPr>
      <w:r w:rsidRPr="003D4801">
        <w:rPr>
          <w:rFonts w:eastAsia="標楷體"/>
        </w:rPr>
        <w:t>101</w:t>
      </w:r>
      <w:r w:rsidRPr="003D4801">
        <w:rPr>
          <w:rFonts w:eastAsia="標楷體" w:hint="eastAsia"/>
        </w:rPr>
        <w:t>年低收入戶之戶數及人數分別為</w:t>
      </w:r>
      <w:r>
        <w:rPr>
          <w:rFonts w:eastAsia="標楷體" w:hint="eastAsia"/>
        </w:rPr>
        <w:t>14</w:t>
      </w:r>
      <w:r w:rsidRPr="003D4801">
        <w:rPr>
          <w:rFonts w:eastAsia="標楷體" w:hint="eastAsia"/>
        </w:rPr>
        <w:t>萬</w:t>
      </w:r>
      <w:r>
        <w:rPr>
          <w:rFonts w:eastAsia="標楷體" w:hint="eastAsia"/>
        </w:rPr>
        <w:t>5</w:t>
      </w:r>
      <w:r w:rsidRPr="003D4801">
        <w:rPr>
          <w:rFonts w:eastAsia="標楷體"/>
        </w:rPr>
        <w:t>,</w:t>
      </w:r>
      <w:r>
        <w:rPr>
          <w:rFonts w:eastAsia="標楷體" w:hint="eastAsia"/>
        </w:rPr>
        <w:t>613</w:t>
      </w:r>
      <w:r w:rsidRPr="003D4801">
        <w:rPr>
          <w:rFonts w:eastAsia="標楷體" w:hint="eastAsia"/>
        </w:rPr>
        <w:t>戶及</w:t>
      </w:r>
      <w:r>
        <w:rPr>
          <w:rFonts w:eastAsia="標楷體" w:hint="eastAsia"/>
        </w:rPr>
        <w:t>35</w:t>
      </w:r>
      <w:r w:rsidRPr="003D4801">
        <w:rPr>
          <w:rFonts w:eastAsia="標楷體" w:hint="eastAsia"/>
        </w:rPr>
        <w:t>萬</w:t>
      </w:r>
      <w:r>
        <w:rPr>
          <w:rFonts w:eastAsia="標楷體" w:hint="eastAsia"/>
        </w:rPr>
        <w:t>7</w:t>
      </w:r>
      <w:r w:rsidRPr="003D4801">
        <w:rPr>
          <w:rFonts w:eastAsia="標楷體"/>
        </w:rPr>
        <w:t>,</w:t>
      </w:r>
      <w:r>
        <w:rPr>
          <w:rFonts w:eastAsia="標楷體" w:hint="eastAsia"/>
        </w:rPr>
        <w:t>446</w:t>
      </w:r>
      <w:r w:rsidRPr="003D4801">
        <w:rPr>
          <w:rFonts w:eastAsia="標楷體" w:hint="eastAsia"/>
        </w:rPr>
        <w:t>人，</w:t>
      </w:r>
      <w:r w:rsidR="00172567" w:rsidRPr="003D4801">
        <w:rPr>
          <w:rFonts w:eastAsia="標楷體" w:hint="eastAsia"/>
        </w:rPr>
        <w:t>觀察</w:t>
      </w:r>
      <w:r w:rsidRPr="003D4801">
        <w:rPr>
          <w:rFonts w:eastAsia="標楷體" w:hint="eastAsia"/>
        </w:rPr>
        <w:t>歷年</w:t>
      </w:r>
      <w:r w:rsidR="003545CD" w:rsidRPr="003D4801">
        <w:rPr>
          <w:rFonts w:eastAsia="標楷體" w:hint="eastAsia"/>
        </w:rPr>
        <w:t>低收入戶</w:t>
      </w:r>
      <w:r>
        <w:rPr>
          <w:rFonts w:eastAsia="標楷體" w:hint="eastAsia"/>
        </w:rPr>
        <w:t>變動發現</w:t>
      </w:r>
      <w:r w:rsidR="003545CD" w:rsidRPr="003D4801">
        <w:rPr>
          <w:rFonts w:eastAsia="標楷體" w:hint="eastAsia"/>
        </w:rPr>
        <w:t>，因</w:t>
      </w:r>
      <w:r w:rsidR="003545CD" w:rsidRPr="003D4801">
        <w:rPr>
          <w:rFonts w:eastAsia="標楷體"/>
        </w:rPr>
        <w:t>100</w:t>
      </w:r>
      <w:r w:rsidR="003545CD" w:rsidRPr="003D4801">
        <w:rPr>
          <w:rFonts w:eastAsia="標楷體" w:hint="eastAsia"/>
        </w:rPr>
        <w:t>年</w:t>
      </w:r>
      <w:r w:rsidR="003545CD" w:rsidRPr="003D4801">
        <w:rPr>
          <w:rFonts w:eastAsia="標楷體"/>
        </w:rPr>
        <w:t>7</w:t>
      </w:r>
      <w:r w:rsidR="003545CD" w:rsidRPr="003D4801">
        <w:rPr>
          <w:rFonts w:eastAsia="標楷體" w:hint="eastAsia"/>
        </w:rPr>
        <w:t>月起放寛最低生活費及審核門檻，</w:t>
      </w:r>
      <w:r>
        <w:rPr>
          <w:rFonts w:eastAsia="標楷體" w:hint="eastAsia"/>
        </w:rPr>
        <w:t>致</w:t>
      </w:r>
      <w:r w:rsidR="00E81834" w:rsidRPr="003D4801">
        <w:rPr>
          <w:rFonts w:eastAsia="標楷體"/>
        </w:rPr>
        <w:t>101</w:t>
      </w:r>
      <w:r w:rsidR="00E81834" w:rsidRPr="003D4801">
        <w:rPr>
          <w:rFonts w:eastAsia="標楷體" w:hint="eastAsia"/>
        </w:rPr>
        <w:t>年低收入戶數及人數</w:t>
      </w:r>
      <w:r w:rsidR="009710A0">
        <w:rPr>
          <w:rFonts w:eastAsia="標楷體" w:hint="eastAsia"/>
        </w:rPr>
        <w:t>均有較大幅之成長</w:t>
      </w:r>
      <w:r w:rsidR="009710A0" w:rsidRPr="003D4801">
        <w:rPr>
          <w:rFonts w:eastAsia="標楷體" w:hint="eastAsia"/>
        </w:rPr>
        <w:t>，</w:t>
      </w:r>
      <w:r w:rsidR="00E81834" w:rsidRPr="003D4801">
        <w:rPr>
          <w:rFonts w:eastAsia="標楷體" w:hint="eastAsia"/>
        </w:rPr>
        <w:t>分別為</w:t>
      </w:r>
      <w:r w:rsidR="003545CD" w:rsidRPr="003D4801">
        <w:rPr>
          <w:rFonts w:eastAsia="標楷體" w:hint="eastAsia"/>
        </w:rPr>
        <w:t>14</w:t>
      </w:r>
      <w:r w:rsidR="00E81834" w:rsidRPr="003D4801">
        <w:rPr>
          <w:rFonts w:eastAsia="標楷體" w:hint="eastAsia"/>
        </w:rPr>
        <w:t>萬</w:t>
      </w:r>
      <w:r w:rsidR="003545CD" w:rsidRPr="003D4801">
        <w:rPr>
          <w:rFonts w:eastAsia="標楷體" w:hint="eastAsia"/>
        </w:rPr>
        <w:t>5</w:t>
      </w:r>
      <w:r w:rsidR="00E81834" w:rsidRPr="003D4801">
        <w:rPr>
          <w:rFonts w:eastAsia="標楷體"/>
        </w:rPr>
        <w:t>,6</w:t>
      </w:r>
      <w:r w:rsidR="003545CD" w:rsidRPr="003D4801">
        <w:rPr>
          <w:rFonts w:eastAsia="標楷體" w:hint="eastAsia"/>
        </w:rPr>
        <w:t>13</w:t>
      </w:r>
      <w:r w:rsidR="00E81834" w:rsidRPr="003D4801">
        <w:rPr>
          <w:rFonts w:eastAsia="標楷體" w:hint="eastAsia"/>
        </w:rPr>
        <w:t>戶</w:t>
      </w:r>
      <w:r w:rsidR="00172567">
        <w:rPr>
          <w:rFonts w:eastAsia="標楷體" w:hint="eastAsia"/>
        </w:rPr>
        <w:t>(13.</w:t>
      </w:r>
      <w:r w:rsidR="00D47330">
        <w:rPr>
          <w:rFonts w:eastAsia="標楷體" w:hint="eastAsia"/>
        </w:rPr>
        <w:t>6</w:t>
      </w:r>
      <w:r w:rsidR="00172567">
        <w:rPr>
          <w:rFonts w:eastAsia="標楷體" w:hint="eastAsia"/>
        </w:rPr>
        <w:t>%)</w:t>
      </w:r>
      <w:r w:rsidR="00E81834" w:rsidRPr="003D4801">
        <w:rPr>
          <w:rFonts w:eastAsia="標楷體" w:hint="eastAsia"/>
        </w:rPr>
        <w:t>及</w:t>
      </w:r>
      <w:r w:rsidR="003545CD" w:rsidRPr="003D4801">
        <w:rPr>
          <w:rFonts w:eastAsia="標楷體" w:hint="eastAsia"/>
        </w:rPr>
        <w:t>35</w:t>
      </w:r>
      <w:r w:rsidR="00E81834" w:rsidRPr="003D4801">
        <w:rPr>
          <w:rFonts w:eastAsia="標楷體" w:hint="eastAsia"/>
        </w:rPr>
        <w:t>萬</w:t>
      </w:r>
      <w:r w:rsidR="003545CD" w:rsidRPr="003D4801">
        <w:rPr>
          <w:rFonts w:eastAsia="標楷體" w:hint="eastAsia"/>
        </w:rPr>
        <w:t>7</w:t>
      </w:r>
      <w:r w:rsidR="00E81834" w:rsidRPr="003D4801">
        <w:rPr>
          <w:rFonts w:eastAsia="標楷體"/>
        </w:rPr>
        <w:t>,4</w:t>
      </w:r>
      <w:r w:rsidR="003545CD" w:rsidRPr="003D4801">
        <w:rPr>
          <w:rFonts w:eastAsia="標楷體" w:hint="eastAsia"/>
        </w:rPr>
        <w:t>46</w:t>
      </w:r>
      <w:r w:rsidR="00E81834" w:rsidRPr="003D4801">
        <w:rPr>
          <w:rFonts w:eastAsia="標楷體" w:hint="eastAsia"/>
        </w:rPr>
        <w:t>人</w:t>
      </w:r>
      <w:r w:rsidR="00172567">
        <w:rPr>
          <w:rFonts w:eastAsia="標楷體" w:hint="eastAsia"/>
        </w:rPr>
        <w:t>(13.7%)</w:t>
      </w:r>
      <w:r w:rsidR="009710A0" w:rsidRPr="003D4801">
        <w:rPr>
          <w:rFonts w:eastAsia="標楷體" w:hint="eastAsia"/>
        </w:rPr>
        <w:t>。</w:t>
      </w:r>
    </w:p>
    <w:p w:rsidR="003545CD" w:rsidRPr="003D4801" w:rsidRDefault="003545CD" w:rsidP="009710A0">
      <w:pPr>
        <w:widowControl/>
        <w:spacing w:beforeLines="100" w:before="360"/>
        <w:ind w:firstLineChars="200" w:firstLine="480"/>
        <w:jc w:val="both"/>
        <w:rPr>
          <w:rFonts w:eastAsia="標楷體"/>
        </w:rPr>
      </w:pPr>
      <w:r w:rsidRPr="003D4801">
        <w:rPr>
          <w:rFonts w:eastAsia="標楷體"/>
        </w:rPr>
        <w:t>101</w:t>
      </w:r>
      <w:r w:rsidRPr="003D4801">
        <w:rPr>
          <w:rFonts w:eastAsia="標楷體" w:hint="eastAsia"/>
        </w:rPr>
        <w:t>年中低收入戶之戶數及人數分別為</w:t>
      </w:r>
      <w:r w:rsidR="0068572F" w:rsidRPr="003D4801">
        <w:rPr>
          <w:rFonts w:eastAsia="標楷體" w:hint="eastAsia"/>
        </w:rPr>
        <w:t>8</w:t>
      </w:r>
      <w:r w:rsidRPr="003D4801">
        <w:rPr>
          <w:rFonts w:eastAsia="標楷體" w:hint="eastAsia"/>
        </w:rPr>
        <w:t>萬</w:t>
      </w:r>
      <w:r w:rsidR="0068572F" w:rsidRPr="003D4801">
        <w:rPr>
          <w:rFonts w:eastAsia="標楷體" w:hint="eastAsia"/>
        </w:rPr>
        <w:t>8</w:t>
      </w:r>
      <w:r w:rsidRPr="003D4801">
        <w:rPr>
          <w:rFonts w:eastAsia="標楷體"/>
        </w:rPr>
        <w:t>,</w:t>
      </w:r>
      <w:r w:rsidR="0068572F" w:rsidRPr="003D4801">
        <w:rPr>
          <w:rFonts w:eastAsia="標楷體" w:hint="eastAsia"/>
        </w:rPr>
        <w:t>988</w:t>
      </w:r>
      <w:r w:rsidRPr="003D4801">
        <w:rPr>
          <w:rFonts w:eastAsia="標楷體" w:hint="eastAsia"/>
        </w:rPr>
        <w:t>戶及</w:t>
      </w:r>
      <w:r w:rsidR="0068572F" w:rsidRPr="003D4801">
        <w:rPr>
          <w:rFonts w:eastAsia="標楷體" w:hint="eastAsia"/>
        </w:rPr>
        <w:t>28</w:t>
      </w:r>
      <w:r w:rsidRPr="003D4801">
        <w:rPr>
          <w:rFonts w:eastAsia="標楷體" w:hint="eastAsia"/>
        </w:rPr>
        <w:t>萬</w:t>
      </w:r>
      <w:r w:rsidR="0068572F" w:rsidRPr="003D4801">
        <w:rPr>
          <w:rFonts w:eastAsia="標楷體" w:hint="eastAsia"/>
        </w:rPr>
        <w:t>2</w:t>
      </w:r>
      <w:r w:rsidRPr="003D4801">
        <w:rPr>
          <w:rFonts w:eastAsia="標楷體"/>
        </w:rPr>
        <w:t>,</w:t>
      </w:r>
      <w:r w:rsidR="0068572F" w:rsidRPr="003D4801">
        <w:rPr>
          <w:rFonts w:eastAsia="標楷體" w:hint="eastAsia"/>
        </w:rPr>
        <w:t>019</w:t>
      </w:r>
      <w:r w:rsidRPr="003D4801">
        <w:rPr>
          <w:rFonts w:eastAsia="標楷體" w:hint="eastAsia"/>
        </w:rPr>
        <w:t>人，分別</w:t>
      </w:r>
      <w:r w:rsidR="009710A0">
        <w:rPr>
          <w:rFonts w:eastAsia="標楷體" w:hint="eastAsia"/>
        </w:rPr>
        <w:t>較</w:t>
      </w:r>
      <w:r w:rsidR="00ED50F3">
        <w:rPr>
          <w:rFonts w:eastAsia="標楷體" w:hint="eastAsia"/>
        </w:rPr>
        <w:t>100</w:t>
      </w:r>
      <w:r w:rsidR="009710A0">
        <w:rPr>
          <w:rFonts w:eastAsia="標楷體" w:hint="eastAsia"/>
        </w:rPr>
        <w:t>年成長</w:t>
      </w:r>
      <w:r w:rsidR="009710A0">
        <w:rPr>
          <w:rFonts w:eastAsia="標楷體" w:hint="eastAsia"/>
        </w:rPr>
        <w:t>5</w:t>
      </w:r>
      <w:r w:rsidR="009710A0" w:rsidRPr="003D4801">
        <w:rPr>
          <w:rFonts w:eastAsia="標楷體" w:hint="eastAsia"/>
        </w:rPr>
        <w:t>萬</w:t>
      </w:r>
      <w:r w:rsidR="009710A0">
        <w:rPr>
          <w:rFonts w:eastAsia="標楷體" w:hint="eastAsia"/>
        </w:rPr>
        <w:t>3</w:t>
      </w:r>
      <w:r w:rsidR="009710A0" w:rsidRPr="003D4801">
        <w:rPr>
          <w:rFonts w:eastAsia="標楷體"/>
        </w:rPr>
        <w:t>,</w:t>
      </w:r>
      <w:r w:rsidR="009710A0">
        <w:rPr>
          <w:rFonts w:eastAsia="標楷體" w:hint="eastAsia"/>
        </w:rPr>
        <w:t>56</w:t>
      </w:r>
      <w:r w:rsidR="009710A0" w:rsidRPr="003D4801">
        <w:rPr>
          <w:rFonts w:eastAsia="標楷體" w:hint="eastAsia"/>
        </w:rPr>
        <w:t>戶</w:t>
      </w:r>
      <w:r w:rsidR="009710A0">
        <w:rPr>
          <w:rFonts w:eastAsia="標楷體" w:hint="eastAsia"/>
        </w:rPr>
        <w:t>(1.5</w:t>
      </w:r>
      <w:r w:rsidR="009710A0">
        <w:rPr>
          <w:rFonts w:eastAsia="標楷體" w:hint="eastAsia"/>
        </w:rPr>
        <w:t>倍</w:t>
      </w:r>
      <w:r w:rsidR="009710A0">
        <w:rPr>
          <w:rFonts w:eastAsia="標楷體" w:hint="eastAsia"/>
        </w:rPr>
        <w:t>)</w:t>
      </w:r>
      <w:r w:rsidR="009710A0" w:rsidRPr="003D4801">
        <w:rPr>
          <w:rFonts w:eastAsia="標楷體" w:hint="eastAsia"/>
        </w:rPr>
        <w:t>及</w:t>
      </w:r>
      <w:r w:rsidR="009710A0">
        <w:rPr>
          <w:rFonts w:eastAsia="標楷體" w:hint="eastAsia"/>
        </w:rPr>
        <w:t>16</w:t>
      </w:r>
      <w:r w:rsidR="009710A0" w:rsidRPr="003D4801">
        <w:rPr>
          <w:rFonts w:eastAsia="標楷體" w:hint="eastAsia"/>
        </w:rPr>
        <w:t>萬</w:t>
      </w:r>
      <w:r w:rsidR="009710A0">
        <w:rPr>
          <w:rFonts w:eastAsia="標楷體" w:hint="eastAsia"/>
        </w:rPr>
        <w:t>1</w:t>
      </w:r>
      <w:r w:rsidR="009710A0" w:rsidRPr="003D4801">
        <w:rPr>
          <w:rFonts w:eastAsia="標楷體"/>
        </w:rPr>
        <w:t>,</w:t>
      </w:r>
      <w:r w:rsidR="009710A0">
        <w:rPr>
          <w:rFonts w:eastAsia="標楷體" w:hint="eastAsia"/>
        </w:rPr>
        <w:t>977</w:t>
      </w:r>
      <w:r w:rsidR="009710A0" w:rsidRPr="003D4801">
        <w:rPr>
          <w:rFonts w:eastAsia="標楷體" w:hint="eastAsia"/>
        </w:rPr>
        <w:t>人</w:t>
      </w:r>
      <w:r w:rsidR="009710A0">
        <w:rPr>
          <w:rFonts w:eastAsia="標楷體" w:hint="eastAsia"/>
        </w:rPr>
        <w:t>(1.3</w:t>
      </w:r>
      <w:r w:rsidR="009710A0">
        <w:rPr>
          <w:rFonts w:eastAsia="標楷體" w:hint="eastAsia"/>
        </w:rPr>
        <w:t>倍</w:t>
      </w:r>
      <w:r w:rsidR="009710A0">
        <w:rPr>
          <w:rFonts w:eastAsia="標楷體" w:hint="eastAsia"/>
        </w:rPr>
        <w:t>)</w:t>
      </w:r>
      <w:r w:rsidRPr="003D4801">
        <w:rPr>
          <w:rFonts w:eastAsia="標楷體" w:hint="eastAsia"/>
        </w:rPr>
        <w:t>。</w:t>
      </w:r>
    </w:p>
    <w:p w:rsidR="00E81834" w:rsidRPr="009710A0" w:rsidRDefault="00E81834" w:rsidP="00B51259">
      <w:pPr>
        <w:widowControl/>
        <w:ind w:firstLineChars="200" w:firstLine="480"/>
        <w:jc w:val="both"/>
        <w:rPr>
          <w:rFonts w:eastAsia="標楷體"/>
        </w:rPr>
      </w:pPr>
    </w:p>
    <w:p w:rsidR="00E81834" w:rsidRPr="00AA2F58" w:rsidRDefault="00E81834" w:rsidP="00AA2F58">
      <w:pPr>
        <w:pStyle w:val="2"/>
        <w:snapToGrid w:val="0"/>
        <w:spacing w:line="240" w:lineRule="auto"/>
        <w:ind w:firstLine="284"/>
        <w:rPr>
          <w:rFonts w:ascii="Times New Roman" w:eastAsia="標楷體" w:hAnsi="Times New Roman"/>
          <w:sz w:val="28"/>
        </w:rPr>
      </w:pPr>
      <w:r w:rsidRPr="00C82B5E">
        <w:rPr>
          <w:rFonts w:eastAsia="標楷體"/>
        </w:rPr>
        <w:br w:type="page"/>
      </w:r>
      <w:bookmarkStart w:id="3" w:name="_Toc378767208"/>
      <w:r w:rsidRPr="00AA2F58">
        <w:rPr>
          <w:rFonts w:ascii="Times New Roman" w:eastAsia="標楷體" w:hAnsi="Times New Roman"/>
          <w:sz w:val="28"/>
        </w:rPr>
        <w:lastRenderedPageBreak/>
        <w:t>(</w:t>
      </w:r>
      <w:r w:rsidRPr="00AA2F58">
        <w:rPr>
          <w:rFonts w:ascii="Times New Roman" w:eastAsia="標楷體" w:hAnsi="Times New Roman" w:hint="eastAsia"/>
          <w:sz w:val="28"/>
        </w:rPr>
        <w:t>二</w:t>
      </w:r>
      <w:r w:rsidRPr="00AA2F58">
        <w:rPr>
          <w:rFonts w:ascii="Times New Roman" w:eastAsia="標楷體" w:hAnsi="Times New Roman"/>
          <w:sz w:val="28"/>
        </w:rPr>
        <w:t xml:space="preserve">) </w:t>
      </w:r>
      <w:r w:rsidRPr="00AA2F58">
        <w:rPr>
          <w:rFonts w:ascii="Times New Roman" w:eastAsia="標楷體" w:hAnsi="Times New Roman" w:hint="eastAsia"/>
          <w:sz w:val="28"/>
        </w:rPr>
        <w:t>醫療補助、急難及災害救助</w:t>
      </w:r>
      <w:bookmarkEnd w:id="3"/>
    </w:p>
    <w:p w:rsidR="00E81834" w:rsidRPr="005E5B9F" w:rsidRDefault="00E81834" w:rsidP="00B51259">
      <w:pPr>
        <w:ind w:leftChars="354" w:left="850"/>
        <w:rPr>
          <w:rFonts w:eastAsia="標楷體"/>
          <w:b/>
        </w:rPr>
      </w:pPr>
      <w:r w:rsidRPr="005E5B9F">
        <w:rPr>
          <w:rFonts w:eastAsia="標楷體" w:hint="eastAsia"/>
          <w:b/>
        </w:rPr>
        <w:t>災害救助以火災發生最多</w:t>
      </w:r>
    </w:p>
    <w:p w:rsidR="00E81834" w:rsidRPr="00E4196A" w:rsidRDefault="00E81834" w:rsidP="00E4196A">
      <w:pPr>
        <w:widowControl/>
        <w:jc w:val="center"/>
        <w:rPr>
          <w:rFonts w:ascii="標楷體" w:eastAsia="標楷體" w:hAnsi="標楷體"/>
          <w:sz w:val="28"/>
          <w:szCs w:val="28"/>
        </w:rPr>
      </w:pPr>
      <w:r w:rsidRPr="00E4196A">
        <w:rPr>
          <w:rFonts w:ascii="標楷體" w:eastAsia="標楷體" w:hAnsi="標楷體" w:hint="eastAsia"/>
          <w:sz w:val="28"/>
          <w:szCs w:val="28"/>
        </w:rPr>
        <w:t>歷年</w:t>
      </w:r>
      <w:r>
        <w:rPr>
          <w:rFonts w:ascii="標楷體" w:eastAsia="標楷體" w:hAnsi="標楷體" w:hint="eastAsia"/>
          <w:sz w:val="28"/>
          <w:szCs w:val="28"/>
        </w:rPr>
        <w:t>社會救助</w:t>
      </w:r>
      <w:r w:rsidRPr="00857A39">
        <w:rPr>
          <w:rFonts w:eastAsia="標楷體" w:hint="eastAsia"/>
          <w:sz w:val="28"/>
        </w:rPr>
        <w:t>醫療補助、急難及災害救助</w:t>
      </w:r>
      <w:r>
        <w:rPr>
          <w:rFonts w:eastAsia="標楷體" w:hint="eastAsia"/>
          <w:sz w:val="28"/>
        </w:rPr>
        <w:t>金額</w:t>
      </w:r>
      <w:r>
        <w:rPr>
          <w:rFonts w:ascii="標楷體" w:eastAsia="標楷體" w:hAnsi="標楷體" w:hint="eastAsia"/>
          <w:sz w:val="28"/>
          <w:szCs w:val="28"/>
        </w:rPr>
        <w:t>趨勢</w:t>
      </w:r>
      <w:r w:rsidRPr="00E4196A">
        <w:rPr>
          <w:rFonts w:ascii="標楷體" w:eastAsia="標楷體" w:hAnsi="標楷體" w:hint="eastAsia"/>
          <w:sz w:val="28"/>
          <w:szCs w:val="28"/>
        </w:rPr>
        <w:t>圖</w:t>
      </w:r>
    </w:p>
    <w:p w:rsidR="00E81834" w:rsidRDefault="008F0D50" w:rsidP="000F3C7F">
      <w:pPr>
        <w:widowControl/>
        <w:jc w:val="center"/>
      </w:pPr>
      <w:r>
        <w:rPr>
          <w:noProof/>
        </w:rPr>
        <w:drawing>
          <wp:inline distT="0" distB="0" distL="0" distR="0" wp14:anchorId="4510E270" wp14:editId="33CBBA81">
            <wp:extent cx="4486275" cy="2924175"/>
            <wp:effectExtent l="0" t="0" r="0" b="0"/>
            <wp:docPr id="139" name="圖表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B3C2E" w:rsidRPr="00CB3C2E" w:rsidRDefault="00CB3C2E" w:rsidP="000F3C7F">
      <w:pPr>
        <w:widowControl/>
        <w:jc w:val="center"/>
        <w:rPr>
          <w:rFonts w:ascii="標楷體" w:eastAsia="標楷體" w:hAnsi="標楷體"/>
        </w:rPr>
      </w:pPr>
      <w:r w:rsidRPr="00CB3C2E">
        <w:rPr>
          <w:rFonts w:ascii="標楷體" w:eastAsia="標楷體" w:hAnsi="標楷體" w:hint="eastAsia"/>
        </w:rPr>
        <w:t>註：98年因莫拉克颱風及99年凡那比與梅姬颱風致災害救助金額大幅增加。</w:t>
      </w:r>
    </w:p>
    <w:p w:rsidR="00E81834" w:rsidRDefault="00E81834" w:rsidP="000F3C7F">
      <w:pPr>
        <w:widowControl/>
        <w:jc w:val="center"/>
      </w:pPr>
      <w:r w:rsidRPr="00E4196A">
        <w:rPr>
          <w:rFonts w:ascii="標楷體" w:eastAsia="標楷體" w:hAnsi="標楷體" w:hint="eastAsia"/>
          <w:sz w:val="28"/>
          <w:szCs w:val="28"/>
        </w:rPr>
        <w:t>歷年</w:t>
      </w:r>
      <w:r w:rsidRPr="00857A39">
        <w:rPr>
          <w:rFonts w:eastAsia="標楷體" w:hint="eastAsia"/>
          <w:sz w:val="28"/>
        </w:rPr>
        <w:t>醫療補助、急難及災害救助</w:t>
      </w:r>
      <w:r>
        <w:rPr>
          <w:rFonts w:ascii="標楷體" w:eastAsia="標楷體" w:hAnsi="標楷體" w:hint="eastAsia"/>
          <w:sz w:val="28"/>
          <w:szCs w:val="28"/>
        </w:rPr>
        <w:t>概況</w:t>
      </w:r>
    </w:p>
    <w:p w:rsidR="00E81834" w:rsidRPr="00191147" w:rsidRDefault="00DD4FB1" w:rsidP="000F3C7F">
      <w:pPr>
        <w:widowControl/>
        <w:jc w:val="center"/>
      </w:pPr>
      <w:r w:rsidRPr="00DD4FB1">
        <w:rPr>
          <w:noProof/>
        </w:rPr>
        <w:drawing>
          <wp:inline distT="0" distB="0" distL="0" distR="0" wp14:anchorId="29BEBC35" wp14:editId="154712D3">
            <wp:extent cx="6301105" cy="1787755"/>
            <wp:effectExtent l="0" t="0" r="4445" b="3175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178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834" w:rsidRPr="00136398" w:rsidRDefault="00E81834" w:rsidP="00685D8E">
      <w:pPr>
        <w:widowControl/>
        <w:spacing w:beforeLines="100" w:before="360"/>
        <w:ind w:firstLineChars="200" w:firstLine="480"/>
        <w:jc w:val="both"/>
        <w:rPr>
          <w:rFonts w:eastAsia="標楷體"/>
        </w:rPr>
      </w:pPr>
      <w:r>
        <w:rPr>
          <w:rFonts w:eastAsia="標楷體" w:hint="eastAsia"/>
        </w:rPr>
        <w:t>在社會救助體系中除了照顧低收入戶及中低收入戶生活扶助外，</w:t>
      </w:r>
      <w:r w:rsidR="00685D8E">
        <w:rPr>
          <w:rFonts w:eastAsia="標楷體" w:hint="eastAsia"/>
        </w:rPr>
        <w:t>尚包括</w:t>
      </w:r>
      <w:r>
        <w:rPr>
          <w:rFonts w:eastAsia="標楷體" w:hint="eastAsia"/>
        </w:rPr>
        <w:t>「醫療</w:t>
      </w:r>
      <w:r w:rsidRPr="00404279">
        <w:rPr>
          <w:rFonts w:eastAsia="標楷體" w:hint="eastAsia"/>
        </w:rPr>
        <w:t>補助</w:t>
      </w:r>
      <w:r>
        <w:rPr>
          <w:rFonts w:eastAsia="標楷體" w:hint="eastAsia"/>
        </w:rPr>
        <w:t>」</w:t>
      </w:r>
      <w:r w:rsidR="00685D8E">
        <w:rPr>
          <w:rFonts w:eastAsia="標楷體" w:hint="eastAsia"/>
        </w:rPr>
        <w:t>、</w:t>
      </w:r>
      <w:r>
        <w:rPr>
          <w:rFonts w:eastAsia="標楷體" w:hint="eastAsia"/>
        </w:rPr>
        <w:t>「急難救助」</w:t>
      </w:r>
      <w:r w:rsidR="00685D8E">
        <w:rPr>
          <w:rFonts w:eastAsia="標楷體" w:hint="eastAsia"/>
        </w:rPr>
        <w:t>與</w:t>
      </w:r>
      <w:r>
        <w:rPr>
          <w:rFonts w:eastAsia="標楷體" w:hint="eastAsia"/>
        </w:rPr>
        <w:t>「災害救助」。</w:t>
      </w:r>
    </w:p>
    <w:p w:rsidR="00E81834" w:rsidRDefault="00685D8E" w:rsidP="00685D8E">
      <w:pPr>
        <w:widowControl/>
        <w:spacing w:beforeLines="100" w:before="360"/>
        <w:ind w:firstLineChars="200" w:firstLine="480"/>
        <w:jc w:val="both"/>
        <w:rPr>
          <w:rFonts w:eastAsia="標楷體"/>
        </w:rPr>
      </w:pPr>
      <w:r>
        <w:rPr>
          <w:rFonts w:eastAsia="標楷體" w:hint="eastAsia"/>
        </w:rPr>
        <w:t>就</w:t>
      </w:r>
      <w:r w:rsidR="00E81834">
        <w:rPr>
          <w:rFonts w:eastAsia="標楷體" w:hint="eastAsia"/>
        </w:rPr>
        <w:t>醫療補助觀察，</w:t>
      </w:r>
      <w:r w:rsidR="00E81834">
        <w:rPr>
          <w:rFonts w:eastAsia="標楷體"/>
        </w:rPr>
        <w:t>101</w:t>
      </w:r>
      <w:r w:rsidR="00E81834">
        <w:rPr>
          <w:rFonts w:eastAsia="標楷體" w:hint="eastAsia"/>
        </w:rPr>
        <w:t>年補助人次較</w:t>
      </w:r>
      <w:r w:rsidR="00CB3C2E">
        <w:rPr>
          <w:rFonts w:eastAsia="標楷體" w:hint="eastAsia"/>
        </w:rPr>
        <w:t>100</w:t>
      </w:r>
      <w:r w:rsidR="00E81834">
        <w:rPr>
          <w:rFonts w:eastAsia="標楷體" w:hint="eastAsia"/>
        </w:rPr>
        <w:t>年減少</w:t>
      </w:r>
      <w:r w:rsidR="00E81834">
        <w:rPr>
          <w:rFonts w:eastAsia="標楷體"/>
        </w:rPr>
        <w:t>6.</w:t>
      </w:r>
      <w:r w:rsidR="00D47330">
        <w:rPr>
          <w:rFonts w:eastAsia="標楷體" w:hint="eastAsia"/>
        </w:rPr>
        <w:t>9</w:t>
      </w:r>
      <w:r w:rsidR="00E81834">
        <w:rPr>
          <w:rFonts w:eastAsia="標楷體"/>
        </w:rPr>
        <w:t>%</w:t>
      </w:r>
      <w:r w:rsidR="00E81834">
        <w:rPr>
          <w:rFonts w:eastAsia="標楷體" w:hint="eastAsia"/>
        </w:rPr>
        <w:t>，補助金額則微幅增加</w:t>
      </w:r>
      <w:r w:rsidR="00E81834">
        <w:rPr>
          <w:rFonts w:eastAsia="標楷體"/>
        </w:rPr>
        <w:t>1.</w:t>
      </w:r>
      <w:r w:rsidR="00D47330">
        <w:rPr>
          <w:rFonts w:eastAsia="標楷體" w:hint="eastAsia"/>
        </w:rPr>
        <w:t>2</w:t>
      </w:r>
      <w:r w:rsidR="00E81834">
        <w:rPr>
          <w:rFonts w:eastAsia="標楷體"/>
        </w:rPr>
        <w:t>%</w:t>
      </w:r>
      <w:r w:rsidR="00E81834">
        <w:rPr>
          <w:rFonts w:eastAsia="標楷體" w:hint="eastAsia"/>
        </w:rPr>
        <w:t>，再就性別觀察，男性接受醫療補助各年皆高於女性，占補助人次七成以上。</w:t>
      </w:r>
    </w:p>
    <w:p w:rsidR="00E81834" w:rsidRDefault="00685D8E" w:rsidP="00685D8E">
      <w:pPr>
        <w:widowControl/>
        <w:spacing w:beforeLines="100" w:before="360"/>
        <w:ind w:firstLineChars="200" w:firstLine="480"/>
        <w:jc w:val="both"/>
        <w:rPr>
          <w:rFonts w:eastAsia="標楷體"/>
        </w:rPr>
      </w:pPr>
      <w:r>
        <w:rPr>
          <w:rFonts w:eastAsia="標楷體" w:hint="eastAsia"/>
        </w:rPr>
        <w:t>就</w:t>
      </w:r>
      <w:r w:rsidR="00E81834">
        <w:rPr>
          <w:rFonts w:eastAsia="標楷體" w:hint="eastAsia"/>
        </w:rPr>
        <w:t>急難救助觀察，</w:t>
      </w:r>
      <w:r w:rsidR="00E81834">
        <w:rPr>
          <w:rFonts w:eastAsia="標楷體"/>
        </w:rPr>
        <w:t>101</w:t>
      </w:r>
      <w:r w:rsidR="00E81834">
        <w:rPr>
          <w:rFonts w:eastAsia="標楷體" w:hint="eastAsia"/>
        </w:rPr>
        <w:t>年補助人次較</w:t>
      </w:r>
      <w:r w:rsidR="00CB3C2E">
        <w:rPr>
          <w:rFonts w:eastAsia="標楷體" w:hint="eastAsia"/>
        </w:rPr>
        <w:t>100</w:t>
      </w:r>
      <w:r w:rsidR="00E81834">
        <w:rPr>
          <w:rFonts w:eastAsia="標楷體" w:hint="eastAsia"/>
        </w:rPr>
        <w:t>年增加</w:t>
      </w:r>
      <w:r w:rsidR="00E81834">
        <w:rPr>
          <w:rFonts w:eastAsia="標楷體"/>
        </w:rPr>
        <w:t>3.4%</w:t>
      </w:r>
      <w:r w:rsidR="00E81834">
        <w:rPr>
          <w:rFonts w:eastAsia="標楷體" w:hint="eastAsia"/>
        </w:rPr>
        <w:t>，補助金額則微幅減少</w:t>
      </w:r>
      <w:r w:rsidR="00E81834">
        <w:rPr>
          <w:rFonts w:eastAsia="標楷體"/>
        </w:rPr>
        <w:t>1.</w:t>
      </w:r>
      <w:r w:rsidR="00D47330">
        <w:rPr>
          <w:rFonts w:eastAsia="標楷體" w:hint="eastAsia"/>
        </w:rPr>
        <w:t>9</w:t>
      </w:r>
      <w:r w:rsidR="00E81834">
        <w:rPr>
          <w:rFonts w:eastAsia="標楷體"/>
        </w:rPr>
        <w:t>%</w:t>
      </w:r>
      <w:r w:rsidR="00E81834">
        <w:rPr>
          <w:rFonts w:eastAsia="標楷體" w:hint="eastAsia"/>
        </w:rPr>
        <w:t>，再就性別觀察，男性接受急難救助各年皆高於女性，約占六成左右。</w:t>
      </w:r>
    </w:p>
    <w:p w:rsidR="00685D8E" w:rsidRDefault="00685D8E" w:rsidP="0038271A">
      <w:pPr>
        <w:widowControl/>
        <w:spacing w:beforeLines="100" w:before="360"/>
        <w:ind w:firstLineChars="200" w:firstLine="480"/>
        <w:jc w:val="both"/>
        <w:rPr>
          <w:rFonts w:ascii="Cambria" w:eastAsia="標楷體" w:hAnsi="Cambria"/>
          <w:b/>
          <w:bCs/>
          <w:kern w:val="52"/>
          <w:sz w:val="32"/>
          <w:szCs w:val="52"/>
          <w:lang w:val="x-none"/>
        </w:rPr>
      </w:pPr>
      <w:r>
        <w:rPr>
          <w:rFonts w:eastAsia="標楷體" w:hint="eastAsia"/>
        </w:rPr>
        <w:t>就</w:t>
      </w:r>
      <w:r w:rsidR="00E81834">
        <w:rPr>
          <w:rFonts w:eastAsia="標楷體" w:hint="eastAsia"/>
        </w:rPr>
        <w:t>災害救助</w:t>
      </w:r>
      <w:r>
        <w:rPr>
          <w:rFonts w:eastAsia="標楷體" w:hint="eastAsia"/>
        </w:rPr>
        <w:t>項目</w:t>
      </w:r>
      <w:r w:rsidR="00E81834">
        <w:rPr>
          <w:rFonts w:eastAsia="標楷體" w:hint="eastAsia"/>
        </w:rPr>
        <w:t>觀察，以「火災」所占的次數最高，各年皆</w:t>
      </w:r>
      <w:r>
        <w:rPr>
          <w:rFonts w:eastAsia="標楷體" w:hint="eastAsia"/>
        </w:rPr>
        <w:t>在</w:t>
      </w:r>
      <w:r w:rsidR="00E81834">
        <w:rPr>
          <w:rFonts w:eastAsia="標楷體" w:hint="eastAsia"/>
        </w:rPr>
        <w:t>八成以上。</w:t>
      </w:r>
      <w:r>
        <w:rPr>
          <w:lang w:val="x-none"/>
        </w:rPr>
        <w:br w:type="page"/>
      </w:r>
    </w:p>
    <w:p w:rsidR="00E81834" w:rsidRPr="00B74030" w:rsidRDefault="00E81834" w:rsidP="0038271A">
      <w:pPr>
        <w:pStyle w:val="22"/>
      </w:pPr>
      <w:bookmarkStart w:id="4" w:name="_Toc378767209"/>
      <w:r>
        <w:rPr>
          <w:rFonts w:hint="eastAsia"/>
          <w:lang w:val="x-none"/>
        </w:rPr>
        <w:lastRenderedPageBreak/>
        <w:t>二</w:t>
      </w:r>
      <w:r w:rsidRPr="00B74030">
        <w:rPr>
          <w:rFonts w:hint="eastAsia"/>
        </w:rPr>
        <w:t>、</w:t>
      </w:r>
      <w:bookmarkEnd w:id="0"/>
      <w:r w:rsidRPr="009E519C">
        <w:rPr>
          <w:rFonts w:hint="eastAsia"/>
        </w:rPr>
        <w:t>社會福利</w:t>
      </w:r>
      <w:bookmarkEnd w:id="4"/>
    </w:p>
    <w:p w:rsidR="00E81834" w:rsidRDefault="00E81834" w:rsidP="00857A39">
      <w:pPr>
        <w:pStyle w:val="2"/>
        <w:snapToGrid w:val="0"/>
        <w:spacing w:line="240" w:lineRule="auto"/>
        <w:ind w:firstLine="284"/>
        <w:rPr>
          <w:rFonts w:eastAsia="標楷體"/>
          <w:lang w:val="x-none"/>
        </w:rPr>
      </w:pPr>
      <w:bookmarkStart w:id="5" w:name="_Toc378767210"/>
      <w:bookmarkStart w:id="6" w:name="_Toc305657215"/>
      <w:r w:rsidRPr="004C7A0F">
        <w:rPr>
          <w:rFonts w:ascii="Times New Roman" w:eastAsia="標楷體" w:hAnsi="Times New Roman"/>
          <w:sz w:val="28"/>
        </w:rPr>
        <w:t>(</w:t>
      </w:r>
      <w:r w:rsidRPr="004C7A0F">
        <w:rPr>
          <w:rFonts w:ascii="Times New Roman" w:eastAsia="標楷體" w:hAnsi="Times New Roman" w:hint="eastAsia"/>
          <w:sz w:val="28"/>
        </w:rPr>
        <w:t>一</w:t>
      </w:r>
      <w:r w:rsidRPr="004C7A0F">
        <w:rPr>
          <w:rFonts w:ascii="Times New Roman" w:eastAsia="標楷體" w:hAnsi="Times New Roman"/>
          <w:sz w:val="28"/>
        </w:rPr>
        <w:t xml:space="preserve">) </w:t>
      </w:r>
      <w:r w:rsidRPr="009E519C">
        <w:rPr>
          <w:rFonts w:ascii="Times New Roman" w:eastAsia="標楷體" w:hAnsi="Times New Roman" w:hint="eastAsia"/>
          <w:sz w:val="28"/>
        </w:rPr>
        <w:t>兒童及少年福利</w:t>
      </w:r>
      <w:bookmarkEnd w:id="5"/>
    </w:p>
    <w:p w:rsidR="00E81834" w:rsidRPr="0025251C" w:rsidRDefault="00E81834" w:rsidP="00B51259">
      <w:pPr>
        <w:ind w:leftChars="354" w:left="850"/>
        <w:rPr>
          <w:rFonts w:eastAsia="標楷體"/>
          <w:b/>
        </w:rPr>
      </w:pPr>
      <w:r w:rsidRPr="0025251C">
        <w:rPr>
          <w:rFonts w:eastAsia="標楷體"/>
          <w:b/>
        </w:rPr>
        <w:t>101</w:t>
      </w:r>
      <w:r w:rsidRPr="0025251C">
        <w:rPr>
          <w:rFonts w:eastAsia="標楷體" w:hint="eastAsia"/>
          <w:b/>
        </w:rPr>
        <w:t>年弱勢兒少生活扶助人數成長</w:t>
      </w:r>
      <w:r w:rsidR="004D34F7" w:rsidRPr="0025251C">
        <w:rPr>
          <w:rFonts w:eastAsia="標楷體" w:hint="eastAsia"/>
          <w:b/>
        </w:rPr>
        <w:t>8.8%</w:t>
      </w:r>
      <w:r w:rsidR="004D34F7" w:rsidRPr="0025251C">
        <w:rPr>
          <w:rFonts w:eastAsia="標楷體" w:hint="eastAsia"/>
          <w:b/>
        </w:rPr>
        <w:t>，扶助金額成長</w:t>
      </w:r>
      <w:r w:rsidR="004D34F7" w:rsidRPr="0025251C">
        <w:rPr>
          <w:rFonts w:eastAsia="標楷體" w:hint="eastAsia"/>
          <w:b/>
        </w:rPr>
        <w:t>44</w:t>
      </w:r>
      <w:r w:rsidR="00EA51E5">
        <w:rPr>
          <w:rFonts w:eastAsia="標楷體" w:hint="eastAsia"/>
          <w:b/>
        </w:rPr>
        <w:t>.2</w:t>
      </w:r>
      <w:r w:rsidR="004D34F7" w:rsidRPr="0025251C">
        <w:rPr>
          <w:rFonts w:eastAsia="標楷體" w:hint="eastAsia"/>
          <w:b/>
        </w:rPr>
        <w:t>%</w:t>
      </w:r>
    </w:p>
    <w:p w:rsidR="00E81834" w:rsidRPr="002327FB" w:rsidRDefault="00E81834" w:rsidP="008D0855">
      <w:pPr>
        <w:widowControl/>
        <w:jc w:val="center"/>
        <w:rPr>
          <w:rFonts w:ascii="標楷體" w:eastAsia="標楷體" w:hAnsi="標楷體"/>
          <w:sz w:val="28"/>
          <w:szCs w:val="28"/>
        </w:rPr>
      </w:pPr>
      <w:r w:rsidRPr="002327FB">
        <w:rPr>
          <w:rFonts w:ascii="標楷體" w:eastAsia="標楷體" w:hAnsi="標楷體"/>
          <w:sz w:val="28"/>
          <w:szCs w:val="28"/>
        </w:rPr>
        <w:t>101</w:t>
      </w:r>
      <w:r w:rsidRPr="002327FB">
        <w:rPr>
          <w:rFonts w:ascii="標楷體" w:eastAsia="標楷體" w:hAnsi="標楷體" w:hint="eastAsia"/>
          <w:sz w:val="28"/>
          <w:szCs w:val="28"/>
        </w:rPr>
        <w:t>年兒童及少年福利服務機構</w:t>
      </w:r>
    </w:p>
    <w:p w:rsidR="00E81834" w:rsidRDefault="00EA51E5" w:rsidP="008D0855">
      <w:pPr>
        <w:widowControl/>
        <w:jc w:val="center"/>
      </w:pPr>
      <w:r>
        <w:rPr>
          <w:noProof/>
        </w:rPr>
        <w:drawing>
          <wp:inline distT="0" distB="0" distL="0" distR="0" wp14:anchorId="62A9ECC3" wp14:editId="2BECD2F4">
            <wp:extent cx="5638800" cy="2057400"/>
            <wp:effectExtent l="0" t="0" r="0" b="0"/>
            <wp:docPr id="267" name="圖表 26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81834" w:rsidRPr="00025FBA" w:rsidRDefault="00E81834" w:rsidP="00B51259">
      <w:pPr>
        <w:widowControl/>
        <w:ind w:leftChars="295" w:left="1134" w:hanging="426"/>
        <w:rPr>
          <w:rFonts w:ascii="標楷體" w:eastAsia="標楷體" w:hAnsi="標楷體"/>
          <w:sz w:val="20"/>
          <w:szCs w:val="20"/>
        </w:rPr>
      </w:pPr>
      <w:r w:rsidRPr="00025FBA">
        <w:rPr>
          <w:rFonts w:ascii="標楷體" w:eastAsia="標楷體" w:hAnsi="標楷體" w:hint="eastAsia"/>
          <w:sz w:val="20"/>
          <w:szCs w:val="20"/>
        </w:rPr>
        <w:t>註：</w:t>
      </w:r>
      <w:r>
        <w:rPr>
          <w:rFonts w:ascii="標楷體" w:eastAsia="標楷體" w:hAnsi="標楷體"/>
          <w:sz w:val="20"/>
          <w:szCs w:val="20"/>
        </w:rPr>
        <w:t>101</w:t>
      </w:r>
      <w:r>
        <w:rPr>
          <w:rFonts w:ascii="標楷體" w:eastAsia="標楷體" w:hAnsi="標楷體" w:hint="eastAsia"/>
          <w:sz w:val="20"/>
          <w:szCs w:val="20"/>
        </w:rPr>
        <w:t>年安置發展遲緩兒童除</w:t>
      </w:r>
      <w:r w:rsidRPr="00025FBA">
        <w:rPr>
          <w:rFonts w:ascii="標楷體" w:eastAsia="標楷體" w:hAnsi="標楷體" w:hint="eastAsia"/>
          <w:sz w:val="20"/>
          <w:szCs w:val="20"/>
        </w:rPr>
        <w:t>早期療育機構</w:t>
      </w:r>
      <w:r>
        <w:rPr>
          <w:rFonts w:ascii="標楷體" w:eastAsia="標楷體" w:hAnsi="標楷體"/>
          <w:sz w:val="20"/>
          <w:szCs w:val="20"/>
        </w:rPr>
        <w:t>23</w:t>
      </w:r>
      <w:r>
        <w:rPr>
          <w:rFonts w:ascii="標楷體" w:eastAsia="標楷體" w:hAnsi="標楷體" w:hint="eastAsia"/>
          <w:sz w:val="20"/>
          <w:szCs w:val="20"/>
        </w:rPr>
        <w:t>所外，尚有托育機構</w:t>
      </w:r>
      <w:r>
        <w:rPr>
          <w:rFonts w:ascii="標楷體" w:eastAsia="標楷體" w:hAnsi="標楷體"/>
          <w:sz w:val="20"/>
          <w:szCs w:val="20"/>
        </w:rPr>
        <w:t>1,724</w:t>
      </w:r>
      <w:r>
        <w:rPr>
          <w:rFonts w:ascii="標楷體" w:eastAsia="標楷體" w:hAnsi="標楷體" w:hint="eastAsia"/>
          <w:sz w:val="20"/>
          <w:szCs w:val="20"/>
        </w:rPr>
        <w:t>所、幼教機構</w:t>
      </w:r>
      <w:r>
        <w:rPr>
          <w:rFonts w:ascii="標楷體" w:eastAsia="標楷體" w:hAnsi="標楷體"/>
          <w:sz w:val="20"/>
          <w:szCs w:val="20"/>
        </w:rPr>
        <w:t>2,785</w:t>
      </w:r>
      <w:r>
        <w:rPr>
          <w:rFonts w:ascii="標楷體" w:eastAsia="標楷體" w:hAnsi="標楷體" w:hint="eastAsia"/>
          <w:sz w:val="20"/>
          <w:szCs w:val="20"/>
        </w:rPr>
        <w:t>所及身障機構</w:t>
      </w:r>
      <w:r>
        <w:rPr>
          <w:rFonts w:ascii="標楷體" w:eastAsia="標楷體" w:hAnsi="標楷體"/>
          <w:sz w:val="20"/>
          <w:szCs w:val="20"/>
        </w:rPr>
        <w:t>127</w:t>
      </w:r>
      <w:r>
        <w:rPr>
          <w:rFonts w:ascii="標楷體" w:eastAsia="標楷體" w:hAnsi="標楷體" w:hint="eastAsia"/>
          <w:sz w:val="20"/>
          <w:szCs w:val="20"/>
        </w:rPr>
        <w:t>所，其中托育及幼教機構因幼教整合業務移教育單位，本圖未予以統計。</w:t>
      </w:r>
    </w:p>
    <w:p w:rsidR="00E81834" w:rsidRPr="002327FB" w:rsidRDefault="00E81834" w:rsidP="002327FB">
      <w:pPr>
        <w:widowControl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歷年</w:t>
      </w:r>
      <w:r w:rsidRPr="002327FB">
        <w:rPr>
          <w:rFonts w:ascii="標楷體" w:eastAsia="標楷體" w:hAnsi="標楷體" w:hint="eastAsia"/>
          <w:sz w:val="28"/>
          <w:szCs w:val="28"/>
        </w:rPr>
        <w:t>兒童及少年福利服務概況</w:t>
      </w:r>
    </w:p>
    <w:p w:rsidR="00E81834" w:rsidRPr="00437F99" w:rsidRDefault="00DD4FB1" w:rsidP="00857A39">
      <w:pPr>
        <w:widowControl/>
      </w:pPr>
      <w:r w:rsidRPr="00DD4FB1">
        <w:rPr>
          <w:noProof/>
        </w:rPr>
        <w:drawing>
          <wp:inline distT="0" distB="0" distL="0" distR="0" wp14:anchorId="37659383" wp14:editId="4ED8DD42">
            <wp:extent cx="6301105" cy="2251028"/>
            <wp:effectExtent l="0" t="0" r="4445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2251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5B9" w:rsidRDefault="00A305B9" w:rsidP="00B51259">
      <w:pPr>
        <w:widowControl/>
        <w:ind w:firstLineChars="200" w:firstLine="480"/>
        <w:jc w:val="both"/>
        <w:rPr>
          <w:rFonts w:eastAsia="標楷體"/>
        </w:rPr>
      </w:pPr>
    </w:p>
    <w:p w:rsidR="00E81834" w:rsidRDefault="00E81834" w:rsidP="00B51259">
      <w:pPr>
        <w:widowControl/>
        <w:ind w:firstLineChars="200" w:firstLine="480"/>
        <w:jc w:val="both"/>
        <w:rPr>
          <w:rFonts w:eastAsia="標楷體"/>
        </w:rPr>
      </w:pPr>
      <w:r>
        <w:rPr>
          <w:rFonts w:eastAsia="標楷體" w:hint="eastAsia"/>
        </w:rPr>
        <w:t>兒童及少年福利服務機構</w:t>
      </w:r>
      <w:r w:rsidR="004D34F7">
        <w:rPr>
          <w:rFonts w:eastAsia="標楷體" w:hint="eastAsia"/>
        </w:rPr>
        <w:t>家</w:t>
      </w:r>
      <w:r>
        <w:rPr>
          <w:rFonts w:eastAsia="標楷體" w:hint="eastAsia"/>
        </w:rPr>
        <w:t>數逐</w:t>
      </w:r>
      <w:r w:rsidR="00A12BF1">
        <w:rPr>
          <w:rFonts w:eastAsia="標楷體" w:hint="eastAsia"/>
        </w:rPr>
        <w:t>年</w:t>
      </w:r>
      <w:r>
        <w:rPr>
          <w:rFonts w:eastAsia="標楷體" w:hint="eastAsia"/>
        </w:rPr>
        <w:t>增加，</w:t>
      </w:r>
      <w:r w:rsidR="004D34F7">
        <w:rPr>
          <w:rFonts w:eastAsia="標楷體" w:hint="eastAsia"/>
        </w:rPr>
        <w:t>其中又</w:t>
      </w:r>
      <w:r>
        <w:rPr>
          <w:rFonts w:eastAsia="標楷體" w:hint="eastAsia"/>
        </w:rPr>
        <w:t>以「托嬰中心」占</w:t>
      </w:r>
      <w:r w:rsidR="004D34F7">
        <w:rPr>
          <w:rFonts w:eastAsia="標楷體" w:hint="eastAsia"/>
        </w:rPr>
        <w:t>率</w:t>
      </w:r>
      <w:r>
        <w:rPr>
          <w:rFonts w:eastAsia="標楷體" w:hint="eastAsia"/>
        </w:rPr>
        <w:t>最高，</w:t>
      </w:r>
      <w:r>
        <w:rPr>
          <w:rFonts w:eastAsia="標楷體"/>
        </w:rPr>
        <w:t>101</w:t>
      </w:r>
      <w:r>
        <w:rPr>
          <w:rFonts w:eastAsia="標楷體" w:hint="eastAsia"/>
        </w:rPr>
        <w:t>年</w:t>
      </w:r>
      <w:r w:rsidR="004D34F7">
        <w:rPr>
          <w:rFonts w:eastAsia="標楷體" w:hint="eastAsia"/>
        </w:rPr>
        <w:t>兒童及少年福利服務</w:t>
      </w:r>
      <w:r>
        <w:rPr>
          <w:rFonts w:eastAsia="標楷體" w:hint="eastAsia"/>
        </w:rPr>
        <w:t>機構數計</w:t>
      </w:r>
      <w:r>
        <w:rPr>
          <w:rFonts w:eastAsia="標楷體"/>
        </w:rPr>
        <w:t>616</w:t>
      </w:r>
      <w:r>
        <w:rPr>
          <w:rFonts w:eastAsia="標楷體" w:hint="eastAsia"/>
        </w:rPr>
        <w:t>所，「托嬰中心」</w:t>
      </w:r>
      <w:r>
        <w:rPr>
          <w:rFonts w:eastAsia="標楷體"/>
        </w:rPr>
        <w:t>402</w:t>
      </w:r>
      <w:r>
        <w:rPr>
          <w:rFonts w:eastAsia="標楷體" w:hint="eastAsia"/>
        </w:rPr>
        <w:t>所，占</w:t>
      </w:r>
      <w:r>
        <w:rPr>
          <w:rFonts w:eastAsia="標楷體"/>
        </w:rPr>
        <w:t>65.</w:t>
      </w:r>
      <w:r w:rsidR="00D47330">
        <w:rPr>
          <w:rFonts w:eastAsia="標楷體" w:hint="eastAsia"/>
        </w:rPr>
        <w:t>3</w:t>
      </w:r>
      <w:r>
        <w:rPr>
          <w:rFonts w:eastAsia="標楷體"/>
        </w:rPr>
        <w:t>%</w:t>
      </w:r>
      <w:r>
        <w:rPr>
          <w:rFonts w:eastAsia="標楷體" w:hint="eastAsia"/>
        </w:rPr>
        <w:t>。</w:t>
      </w:r>
      <w:r>
        <w:rPr>
          <w:rFonts w:eastAsia="標楷體"/>
        </w:rPr>
        <w:t xml:space="preserve"> </w:t>
      </w:r>
    </w:p>
    <w:p w:rsidR="005C5A2D" w:rsidRDefault="004D34F7" w:rsidP="00B51259">
      <w:pPr>
        <w:widowControl/>
        <w:ind w:firstLineChars="200" w:firstLine="480"/>
        <w:jc w:val="both"/>
        <w:rPr>
          <w:rFonts w:eastAsia="標楷體"/>
        </w:rPr>
      </w:pPr>
      <w:r>
        <w:rPr>
          <w:rFonts w:eastAsia="標楷體" w:hint="eastAsia"/>
        </w:rPr>
        <w:t>就</w:t>
      </w:r>
      <w:r w:rsidR="00E81834">
        <w:rPr>
          <w:rFonts w:eastAsia="標楷體" w:hint="eastAsia"/>
        </w:rPr>
        <w:t>服務項目觀察，</w:t>
      </w:r>
      <w:r w:rsidR="00E81834" w:rsidRPr="00067698">
        <w:rPr>
          <w:rFonts w:eastAsia="標楷體" w:hint="eastAsia"/>
        </w:rPr>
        <w:t>因家庭遭受變故或失依、失養或遭虐待等情事安置寄養家庭</w:t>
      </w:r>
      <w:r>
        <w:rPr>
          <w:rFonts w:eastAsia="標楷體" w:hint="eastAsia"/>
        </w:rPr>
        <w:t>者</w:t>
      </w:r>
      <w:r w:rsidR="00E81834">
        <w:rPr>
          <w:rFonts w:eastAsia="標楷體" w:hint="eastAsia"/>
        </w:rPr>
        <w:t>計</w:t>
      </w:r>
      <w:r w:rsidR="00E81834">
        <w:rPr>
          <w:rFonts w:eastAsia="標楷體"/>
        </w:rPr>
        <w:t>1,835</w:t>
      </w:r>
      <w:r w:rsidR="00E81834">
        <w:rPr>
          <w:rFonts w:eastAsia="標楷體" w:hint="eastAsia"/>
        </w:rPr>
        <w:t>人，</w:t>
      </w:r>
      <w:r>
        <w:rPr>
          <w:rFonts w:eastAsia="標楷體" w:hint="eastAsia"/>
        </w:rPr>
        <w:t>主要係安置</w:t>
      </w:r>
      <w:r w:rsidR="00E81834">
        <w:rPr>
          <w:rFonts w:eastAsia="標楷體" w:hint="eastAsia"/>
        </w:rPr>
        <w:t>遭受虐待</w:t>
      </w:r>
      <w:r>
        <w:rPr>
          <w:rFonts w:eastAsia="標楷體" w:hint="eastAsia"/>
        </w:rPr>
        <w:t>者</w:t>
      </w:r>
      <w:r w:rsidR="00E81834">
        <w:rPr>
          <w:rFonts w:eastAsia="標楷體" w:hint="eastAsia"/>
        </w:rPr>
        <w:t>接受「保護寄養」</w:t>
      </w:r>
      <w:r>
        <w:rPr>
          <w:rFonts w:eastAsia="標楷體" w:hint="eastAsia"/>
        </w:rPr>
        <w:t>，</w:t>
      </w:r>
      <w:r w:rsidR="00E81834">
        <w:rPr>
          <w:rFonts w:eastAsia="標楷體" w:hint="eastAsia"/>
        </w:rPr>
        <w:t>計</w:t>
      </w:r>
      <w:r w:rsidR="00E81834">
        <w:rPr>
          <w:rFonts w:eastAsia="標楷體"/>
        </w:rPr>
        <w:t>1,156</w:t>
      </w:r>
      <w:r w:rsidR="00E81834">
        <w:rPr>
          <w:rFonts w:eastAsia="標楷體" w:hint="eastAsia"/>
        </w:rPr>
        <w:t>人，占</w:t>
      </w:r>
      <w:r w:rsidR="00E81834">
        <w:rPr>
          <w:rFonts w:eastAsia="標楷體"/>
        </w:rPr>
        <w:t>63.0%</w:t>
      </w:r>
      <w:r w:rsidR="00E81834">
        <w:rPr>
          <w:rFonts w:eastAsia="標楷體" w:hint="eastAsia"/>
        </w:rPr>
        <w:t>；</w:t>
      </w:r>
    </w:p>
    <w:p w:rsidR="005C5A2D" w:rsidRDefault="00E81834" w:rsidP="00B51259">
      <w:pPr>
        <w:widowControl/>
        <w:ind w:firstLineChars="200" w:firstLine="480"/>
        <w:jc w:val="both"/>
        <w:rPr>
          <w:rFonts w:eastAsia="標楷體"/>
        </w:rPr>
      </w:pPr>
      <w:r>
        <w:rPr>
          <w:rFonts w:eastAsia="標楷體"/>
        </w:rPr>
        <w:t>101</w:t>
      </w:r>
      <w:r>
        <w:rPr>
          <w:rFonts w:eastAsia="標楷體" w:hint="eastAsia"/>
        </w:rPr>
        <w:t>年接受生活扶助</w:t>
      </w:r>
      <w:r w:rsidR="005C5A2D" w:rsidRPr="004B467D">
        <w:rPr>
          <w:rFonts w:ascii="標楷體" w:eastAsia="標楷體" w:hAnsi="標楷體" w:hint="eastAsia"/>
        </w:rPr>
        <w:t>弱勢</w:t>
      </w:r>
      <w:r w:rsidR="005C5A2D">
        <w:rPr>
          <w:rFonts w:eastAsia="標楷體" w:hint="eastAsia"/>
        </w:rPr>
        <w:t>兒童及少年</w:t>
      </w:r>
      <w:r>
        <w:rPr>
          <w:rFonts w:eastAsia="標楷體" w:hint="eastAsia"/>
        </w:rPr>
        <w:t>人數為</w:t>
      </w:r>
      <w:r>
        <w:rPr>
          <w:rFonts w:eastAsia="標楷體"/>
        </w:rPr>
        <w:t>12</w:t>
      </w:r>
      <w:r>
        <w:rPr>
          <w:rFonts w:eastAsia="標楷體" w:hint="eastAsia"/>
        </w:rPr>
        <w:t>萬</w:t>
      </w:r>
      <w:r>
        <w:rPr>
          <w:rFonts w:eastAsia="標楷體"/>
        </w:rPr>
        <w:t>4,936</w:t>
      </w:r>
      <w:r>
        <w:rPr>
          <w:rFonts w:eastAsia="標楷體" w:hint="eastAsia"/>
        </w:rPr>
        <w:t>人，較</w:t>
      </w:r>
      <w:r>
        <w:rPr>
          <w:rFonts w:eastAsia="標楷體"/>
        </w:rPr>
        <w:t>100</w:t>
      </w:r>
      <w:r>
        <w:rPr>
          <w:rFonts w:eastAsia="標楷體" w:hint="eastAsia"/>
        </w:rPr>
        <w:t>年增加</w:t>
      </w:r>
      <w:r>
        <w:rPr>
          <w:rFonts w:eastAsia="標楷體"/>
        </w:rPr>
        <w:t>6.5%</w:t>
      </w:r>
      <w:r>
        <w:rPr>
          <w:rFonts w:eastAsia="標楷體" w:hint="eastAsia"/>
        </w:rPr>
        <w:t>，另因</w:t>
      </w:r>
      <w:r>
        <w:rPr>
          <w:rFonts w:eastAsia="標楷體"/>
        </w:rPr>
        <w:t>101</w:t>
      </w:r>
      <w:r>
        <w:rPr>
          <w:rFonts w:eastAsia="標楷體" w:hint="eastAsia"/>
        </w:rPr>
        <w:t>年調高扶助標準致金額大幅度成長，</w:t>
      </w:r>
      <w:r w:rsidR="00C72D0E">
        <w:rPr>
          <w:rFonts w:eastAsia="標楷體" w:hint="eastAsia"/>
        </w:rPr>
        <w:t>高</w:t>
      </w:r>
      <w:r>
        <w:rPr>
          <w:rFonts w:eastAsia="標楷體" w:hint="eastAsia"/>
        </w:rPr>
        <w:t>達</w:t>
      </w:r>
      <w:r>
        <w:rPr>
          <w:rFonts w:eastAsia="標楷體"/>
        </w:rPr>
        <w:t>44.</w:t>
      </w:r>
      <w:r w:rsidR="00D47330">
        <w:rPr>
          <w:rFonts w:eastAsia="標楷體" w:hint="eastAsia"/>
        </w:rPr>
        <w:t>2</w:t>
      </w:r>
      <w:r>
        <w:rPr>
          <w:rFonts w:eastAsia="標楷體"/>
        </w:rPr>
        <w:t>%</w:t>
      </w:r>
      <w:r>
        <w:rPr>
          <w:rFonts w:eastAsia="標楷體" w:hint="eastAsia"/>
        </w:rPr>
        <w:t>；</w:t>
      </w:r>
    </w:p>
    <w:p w:rsidR="00E81834" w:rsidRDefault="00E81834" w:rsidP="00B51259">
      <w:pPr>
        <w:widowControl/>
        <w:ind w:firstLineChars="200" w:firstLine="480"/>
        <w:jc w:val="both"/>
        <w:rPr>
          <w:rFonts w:eastAsia="標楷體"/>
          <w:b/>
          <w:bCs/>
          <w:sz w:val="28"/>
          <w:szCs w:val="48"/>
          <w:lang w:val="x-none" w:eastAsia="x-none"/>
        </w:rPr>
      </w:pPr>
      <w:r w:rsidRPr="004B467D">
        <w:rPr>
          <w:rFonts w:ascii="標楷體" w:eastAsia="標楷體" w:hAnsi="標楷體" w:hint="eastAsia"/>
        </w:rPr>
        <w:t>弱勢或寄養家庭之兒童就讀立案幼托園</w:t>
      </w:r>
      <w:r w:rsidR="005C5A2D">
        <w:rPr>
          <w:rFonts w:ascii="標楷體" w:eastAsia="標楷體" w:hAnsi="標楷體" w:hint="eastAsia"/>
        </w:rPr>
        <w:t>之</w:t>
      </w:r>
      <w:r w:rsidRPr="004B467D">
        <w:rPr>
          <w:rFonts w:ascii="標楷體" w:eastAsia="標楷體" w:hAnsi="標楷體" w:hint="eastAsia"/>
        </w:rPr>
        <w:t>托育</w:t>
      </w:r>
      <w:r>
        <w:rPr>
          <w:rFonts w:ascii="標楷體" w:eastAsia="標楷體" w:hAnsi="標楷體" w:hint="eastAsia"/>
        </w:rPr>
        <w:t>補助</w:t>
      </w:r>
      <w:r>
        <w:rPr>
          <w:rFonts w:ascii="標楷體" w:eastAsia="標楷體" w:hAnsi="標楷體"/>
        </w:rPr>
        <w:t>/</w:t>
      </w:r>
      <w:r w:rsidRPr="004B467D">
        <w:rPr>
          <w:rFonts w:ascii="標楷體" w:eastAsia="標楷體" w:hAnsi="標楷體" w:hint="eastAsia"/>
        </w:rPr>
        <w:t>津貼</w:t>
      </w:r>
      <w:r>
        <w:rPr>
          <w:rFonts w:ascii="標楷體" w:eastAsia="標楷體" w:hAnsi="標楷體" w:hint="eastAsia"/>
        </w:rPr>
        <w:t>，因</w:t>
      </w:r>
      <w:r w:rsidR="00A12BF1">
        <w:rPr>
          <w:rFonts w:ascii="標楷體" w:eastAsia="標楷體" w:hAnsi="標楷體" w:hint="eastAsia"/>
        </w:rPr>
        <w:t>幼托整合</w:t>
      </w:r>
      <w:r>
        <w:rPr>
          <w:rFonts w:ascii="標楷體" w:eastAsia="標楷體" w:hAnsi="標楷體" w:hint="eastAsia"/>
        </w:rPr>
        <w:t>業務由社會單位逐</w:t>
      </w:r>
      <w:r w:rsidR="00A12BF1">
        <w:rPr>
          <w:rFonts w:ascii="標楷體" w:eastAsia="標楷體" w:hAnsi="標楷體" w:hint="eastAsia"/>
        </w:rPr>
        <w:t>年</w:t>
      </w:r>
      <w:r>
        <w:rPr>
          <w:rFonts w:ascii="標楷體" w:eastAsia="標楷體" w:hAnsi="標楷體" w:hint="eastAsia"/>
        </w:rPr>
        <w:t>移至教育單位，致</w:t>
      </w:r>
      <w:r>
        <w:rPr>
          <w:rFonts w:ascii="標楷體" w:eastAsia="標楷體" w:hAnsi="標楷體"/>
        </w:rPr>
        <w:t>101</w:t>
      </w:r>
      <w:r>
        <w:rPr>
          <w:rFonts w:ascii="標楷體" w:eastAsia="標楷體" w:hAnsi="標楷體" w:hint="eastAsia"/>
        </w:rPr>
        <w:t>年</w:t>
      </w:r>
      <w:r w:rsidRPr="004B467D">
        <w:rPr>
          <w:rFonts w:ascii="標楷體" w:eastAsia="標楷體" w:hAnsi="標楷體" w:hint="eastAsia"/>
        </w:rPr>
        <w:t>之人數及金額</w:t>
      </w:r>
      <w:r>
        <w:rPr>
          <w:rFonts w:ascii="標楷體" w:eastAsia="標楷體" w:hAnsi="標楷體" w:hint="eastAsia"/>
        </w:rPr>
        <w:t>分別</w:t>
      </w:r>
      <w:r w:rsidR="005C5A2D">
        <w:rPr>
          <w:rFonts w:ascii="標楷體" w:eastAsia="標楷體" w:hAnsi="標楷體" w:hint="eastAsia"/>
        </w:rPr>
        <w:t>下降</w:t>
      </w:r>
      <w:r>
        <w:rPr>
          <w:rFonts w:ascii="標楷體" w:eastAsia="標楷體" w:hAnsi="標楷體" w:hint="eastAsia"/>
        </w:rPr>
        <w:t>為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萬</w:t>
      </w:r>
      <w:r>
        <w:rPr>
          <w:rFonts w:ascii="標楷體" w:eastAsia="標楷體" w:hAnsi="標楷體"/>
        </w:rPr>
        <w:t>3,790</w:t>
      </w:r>
      <w:r>
        <w:rPr>
          <w:rFonts w:ascii="標楷體" w:eastAsia="標楷體" w:hAnsi="標楷體" w:hint="eastAsia"/>
        </w:rPr>
        <w:t>人及</w:t>
      </w:r>
      <w:r>
        <w:rPr>
          <w:rFonts w:ascii="標楷體" w:eastAsia="標楷體" w:hAnsi="標楷體"/>
        </w:rPr>
        <w:t>3</w:t>
      </w:r>
      <w:r w:rsidR="005C5A2D">
        <w:rPr>
          <w:rFonts w:ascii="標楷體" w:eastAsia="標楷體" w:hAnsi="標楷體" w:hint="eastAsia"/>
        </w:rPr>
        <w:t>.9</w:t>
      </w:r>
      <w:r>
        <w:rPr>
          <w:rFonts w:ascii="標楷體" w:eastAsia="標楷體" w:hAnsi="標楷體" w:hint="eastAsia"/>
        </w:rPr>
        <w:t>億元，較</w:t>
      </w:r>
      <w:r w:rsidR="0030207A">
        <w:rPr>
          <w:rFonts w:eastAsia="標楷體" w:hint="eastAsia"/>
        </w:rPr>
        <w:t>上</w:t>
      </w:r>
      <w:r>
        <w:rPr>
          <w:rFonts w:ascii="標楷體" w:eastAsia="標楷體" w:hAnsi="標楷體" w:hint="eastAsia"/>
        </w:rPr>
        <w:t>年分別減少</w:t>
      </w:r>
      <w:r>
        <w:rPr>
          <w:rFonts w:ascii="標楷體" w:eastAsia="標楷體" w:hAnsi="標楷體"/>
        </w:rPr>
        <w:t>3.0%</w:t>
      </w:r>
      <w:r>
        <w:rPr>
          <w:rFonts w:ascii="標楷體" w:eastAsia="標楷體" w:hAnsi="標楷體" w:hint="eastAsia"/>
        </w:rPr>
        <w:t>及</w:t>
      </w:r>
      <w:r>
        <w:rPr>
          <w:rFonts w:ascii="標楷體" w:eastAsia="標楷體" w:hAnsi="標楷體"/>
        </w:rPr>
        <w:t>8.</w:t>
      </w:r>
      <w:r w:rsidR="00D47330">
        <w:rPr>
          <w:rFonts w:ascii="標楷體" w:eastAsia="標楷體" w:hAnsi="標楷體" w:hint="eastAsia"/>
        </w:rPr>
        <w:t>6</w:t>
      </w:r>
      <w:r>
        <w:rPr>
          <w:rFonts w:ascii="標楷體" w:eastAsia="標楷體" w:hAnsi="標楷體"/>
        </w:rPr>
        <w:t>%</w:t>
      </w:r>
      <w:r>
        <w:rPr>
          <w:rFonts w:eastAsia="標楷體" w:hint="eastAsia"/>
        </w:rPr>
        <w:t>。</w:t>
      </w:r>
      <w:bookmarkStart w:id="7" w:name="_Toc305657216"/>
      <w:bookmarkEnd w:id="6"/>
      <w:r>
        <w:rPr>
          <w:rFonts w:eastAsia="標楷體"/>
          <w:sz w:val="28"/>
        </w:rPr>
        <w:br w:type="page"/>
      </w:r>
    </w:p>
    <w:p w:rsidR="00E81834" w:rsidRDefault="00E81834" w:rsidP="009E519C">
      <w:pPr>
        <w:pStyle w:val="2"/>
        <w:snapToGrid w:val="0"/>
        <w:spacing w:line="240" w:lineRule="auto"/>
        <w:ind w:firstLine="284"/>
        <w:rPr>
          <w:rFonts w:eastAsia="標楷體"/>
          <w:lang w:val="x-none"/>
        </w:rPr>
      </w:pPr>
      <w:bookmarkStart w:id="8" w:name="_Toc378767211"/>
      <w:r w:rsidRPr="004C7A0F">
        <w:rPr>
          <w:rFonts w:ascii="Times New Roman" w:eastAsia="標楷體" w:hAnsi="Times New Roman"/>
          <w:sz w:val="28"/>
        </w:rPr>
        <w:lastRenderedPageBreak/>
        <w:t>(</w:t>
      </w:r>
      <w:r>
        <w:rPr>
          <w:rFonts w:ascii="Times New Roman" w:eastAsia="標楷體" w:hAnsi="Times New Roman" w:hint="eastAsia"/>
          <w:sz w:val="28"/>
          <w:lang w:val="x-none"/>
        </w:rPr>
        <w:t>二</w:t>
      </w:r>
      <w:r w:rsidRPr="004C7A0F">
        <w:rPr>
          <w:rFonts w:ascii="Times New Roman" w:eastAsia="標楷體" w:hAnsi="Times New Roman"/>
          <w:sz w:val="28"/>
        </w:rPr>
        <w:t xml:space="preserve">) </w:t>
      </w:r>
      <w:r>
        <w:rPr>
          <w:rFonts w:ascii="Times New Roman" w:eastAsia="標楷體" w:hAnsi="Times New Roman" w:hint="eastAsia"/>
          <w:sz w:val="28"/>
          <w:lang w:val="x-none"/>
        </w:rPr>
        <w:t>婦女福利</w:t>
      </w:r>
      <w:bookmarkEnd w:id="8"/>
    </w:p>
    <w:p w:rsidR="00E81834" w:rsidRPr="0025251C" w:rsidRDefault="00E81834" w:rsidP="00B51259">
      <w:pPr>
        <w:ind w:leftChars="354" w:left="850"/>
        <w:rPr>
          <w:rFonts w:eastAsia="標楷體"/>
          <w:b/>
        </w:rPr>
      </w:pPr>
      <w:r w:rsidRPr="0025251C">
        <w:rPr>
          <w:rFonts w:eastAsia="標楷體" w:hint="eastAsia"/>
          <w:b/>
        </w:rPr>
        <w:t>機構以婦女福利服務中心</w:t>
      </w:r>
      <w:r w:rsidRPr="0025251C">
        <w:rPr>
          <w:rFonts w:eastAsia="標楷體"/>
          <w:b/>
        </w:rPr>
        <w:t>51</w:t>
      </w:r>
      <w:r w:rsidRPr="0025251C">
        <w:rPr>
          <w:rFonts w:eastAsia="標楷體" w:hint="eastAsia"/>
          <w:b/>
        </w:rPr>
        <w:t>所為最多</w:t>
      </w:r>
    </w:p>
    <w:p w:rsidR="00E81834" w:rsidRPr="002B6015" w:rsidRDefault="00E81834" w:rsidP="00781197">
      <w:pPr>
        <w:widowControl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101</w:t>
      </w:r>
      <w:r>
        <w:rPr>
          <w:rFonts w:ascii="標楷體" w:eastAsia="標楷體" w:hAnsi="標楷體" w:hint="eastAsia"/>
          <w:sz w:val="28"/>
          <w:szCs w:val="28"/>
        </w:rPr>
        <w:t>年婦女福利機</w:t>
      </w:r>
      <w:r w:rsidRPr="002B6015">
        <w:rPr>
          <w:rFonts w:ascii="標楷體" w:eastAsia="標楷體" w:hAnsi="標楷體" w:hint="eastAsia"/>
          <w:sz w:val="28"/>
          <w:szCs w:val="28"/>
        </w:rPr>
        <w:t>構</w:t>
      </w:r>
      <w:r>
        <w:rPr>
          <w:rFonts w:ascii="標楷體" w:eastAsia="標楷體" w:hAnsi="標楷體" w:hint="eastAsia"/>
          <w:sz w:val="28"/>
          <w:szCs w:val="28"/>
        </w:rPr>
        <w:t>及外藉配偶家庭服務中心</w:t>
      </w:r>
    </w:p>
    <w:p w:rsidR="00E81834" w:rsidRDefault="00D81CCA" w:rsidP="00781197">
      <w:pPr>
        <w:widowControl/>
        <w:jc w:val="center"/>
      </w:pPr>
      <w:r>
        <w:rPr>
          <w:noProof/>
        </w:rPr>
        <w:drawing>
          <wp:inline distT="0" distB="0" distL="0" distR="0" wp14:anchorId="70AD108E" wp14:editId="3A6100C9">
            <wp:extent cx="4572000" cy="2343150"/>
            <wp:effectExtent l="0" t="0" r="0" b="0"/>
            <wp:docPr id="259" name="圖表 2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81834" w:rsidRPr="008E657E" w:rsidRDefault="00E81834" w:rsidP="004409D1">
      <w:pPr>
        <w:widowControl/>
        <w:jc w:val="center"/>
        <w:rPr>
          <w:rFonts w:ascii="標楷體" w:eastAsia="標楷體" w:hAnsi="標楷體"/>
          <w:sz w:val="28"/>
          <w:szCs w:val="28"/>
        </w:rPr>
      </w:pPr>
      <w:r w:rsidRPr="008E657E">
        <w:rPr>
          <w:rFonts w:ascii="標楷體" w:eastAsia="標楷體" w:hAnsi="標楷體" w:hint="eastAsia"/>
          <w:sz w:val="28"/>
          <w:szCs w:val="28"/>
        </w:rPr>
        <w:t>歷年</w:t>
      </w:r>
      <w:r>
        <w:rPr>
          <w:rFonts w:ascii="標楷體" w:eastAsia="標楷體" w:hAnsi="標楷體" w:hint="eastAsia"/>
          <w:sz w:val="28"/>
          <w:szCs w:val="28"/>
        </w:rPr>
        <w:t>婦女</w:t>
      </w:r>
      <w:r w:rsidRPr="008E657E">
        <w:rPr>
          <w:rFonts w:ascii="標楷體" w:eastAsia="標楷體" w:hAnsi="標楷體" w:hint="eastAsia"/>
          <w:sz w:val="28"/>
          <w:szCs w:val="28"/>
        </w:rPr>
        <w:t>福利服務</w:t>
      </w:r>
    </w:p>
    <w:p w:rsidR="00E81834" w:rsidRPr="002D76BA" w:rsidRDefault="00DD4FB1" w:rsidP="009E519C">
      <w:pPr>
        <w:widowControl/>
        <w:jc w:val="both"/>
      </w:pPr>
      <w:r w:rsidRPr="00DD4FB1">
        <w:rPr>
          <w:noProof/>
        </w:rPr>
        <w:drawing>
          <wp:inline distT="0" distB="0" distL="0" distR="0" wp14:anchorId="3667F9C2" wp14:editId="4DE5600B">
            <wp:extent cx="6301105" cy="1834937"/>
            <wp:effectExtent l="0" t="0" r="4445" b="0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183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834" w:rsidRPr="002D76BA" w:rsidRDefault="00DD4FB1" w:rsidP="009E519C">
      <w:pPr>
        <w:widowControl/>
        <w:jc w:val="both"/>
      </w:pPr>
      <w:r w:rsidRPr="00DD4FB1">
        <w:rPr>
          <w:noProof/>
        </w:rPr>
        <w:drawing>
          <wp:inline distT="0" distB="0" distL="0" distR="0" wp14:anchorId="73A2544B" wp14:editId="3588BA55">
            <wp:extent cx="6301105" cy="1642503"/>
            <wp:effectExtent l="0" t="0" r="4445" b="0"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1642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9C2" w:rsidRDefault="00E81834" w:rsidP="00B51259">
      <w:pPr>
        <w:widowControl/>
        <w:ind w:firstLineChars="200" w:firstLine="480"/>
        <w:jc w:val="both"/>
        <w:rPr>
          <w:rFonts w:eastAsia="標楷體"/>
        </w:rPr>
      </w:pPr>
      <w:r>
        <w:rPr>
          <w:rFonts w:eastAsia="標楷體"/>
        </w:rPr>
        <w:t>101</w:t>
      </w:r>
      <w:r>
        <w:rPr>
          <w:rFonts w:eastAsia="標楷體" w:hint="eastAsia"/>
        </w:rPr>
        <w:t>年</w:t>
      </w:r>
      <w:r w:rsidR="00F360CA">
        <w:rPr>
          <w:rFonts w:eastAsia="標楷體" w:hint="eastAsia"/>
        </w:rPr>
        <w:t>「婦女福利服務中心」計</w:t>
      </w:r>
      <w:r w:rsidR="00F360CA">
        <w:rPr>
          <w:rFonts w:eastAsia="標楷體"/>
        </w:rPr>
        <w:t>51</w:t>
      </w:r>
      <w:r w:rsidR="00F360CA">
        <w:rPr>
          <w:rFonts w:eastAsia="標楷體" w:hint="eastAsia"/>
        </w:rPr>
        <w:t>所，</w:t>
      </w:r>
      <w:r>
        <w:rPr>
          <w:rFonts w:eastAsia="標楷體" w:hint="eastAsia"/>
        </w:rPr>
        <w:t>辦理</w:t>
      </w:r>
      <w:r w:rsidR="00F360CA">
        <w:rPr>
          <w:rFonts w:eastAsia="標楷體" w:hint="eastAsia"/>
        </w:rPr>
        <w:t>福利服務計</w:t>
      </w:r>
      <w:r w:rsidR="00F360CA">
        <w:rPr>
          <w:rFonts w:eastAsia="標楷體"/>
        </w:rPr>
        <w:t>64</w:t>
      </w:r>
      <w:r w:rsidR="00F360CA">
        <w:rPr>
          <w:rFonts w:eastAsia="標楷體" w:hint="eastAsia"/>
        </w:rPr>
        <w:t>萬</w:t>
      </w:r>
      <w:r w:rsidR="00F360CA">
        <w:rPr>
          <w:rFonts w:eastAsia="標楷體"/>
        </w:rPr>
        <w:t>3,258</w:t>
      </w:r>
      <w:r w:rsidR="00F360CA">
        <w:rPr>
          <w:rFonts w:eastAsia="標楷體" w:hint="eastAsia"/>
        </w:rPr>
        <w:t>人次，其中以「婦女福利活動」</w:t>
      </w:r>
      <w:r w:rsidR="00F360CA">
        <w:rPr>
          <w:rFonts w:eastAsia="標楷體"/>
        </w:rPr>
        <w:t>33</w:t>
      </w:r>
      <w:r w:rsidR="00F360CA">
        <w:rPr>
          <w:rFonts w:eastAsia="標楷體" w:hint="eastAsia"/>
        </w:rPr>
        <w:t>萬</w:t>
      </w:r>
      <w:r w:rsidR="00F360CA">
        <w:rPr>
          <w:rFonts w:eastAsia="標楷體"/>
        </w:rPr>
        <w:t>4,630</w:t>
      </w:r>
      <w:r w:rsidR="00F360CA">
        <w:rPr>
          <w:rFonts w:eastAsia="標楷體" w:hint="eastAsia"/>
        </w:rPr>
        <w:t>人次</w:t>
      </w:r>
      <w:r w:rsidR="00BD69C2">
        <w:rPr>
          <w:rFonts w:eastAsia="標楷體" w:hint="eastAsia"/>
        </w:rPr>
        <w:t>為最高</w:t>
      </w:r>
      <w:r w:rsidR="00F360CA">
        <w:rPr>
          <w:rFonts w:eastAsia="標楷體" w:hint="eastAsia"/>
        </w:rPr>
        <w:t>，較</w:t>
      </w:r>
      <w:r w:rsidR="007E2D8F">
        <w:rPr>
          <w:rFonts w:eastAsia="標楷體" w:hint="eastAsia"/>
        </w:rPr>
        <w:t>100</w:t>
      </w:r>
      <w:r w:rsidR="00F360CA">
        <w:rPr>
          <w:rFonts w:eastAsia="標楷體" w:hint="eastAsia"/>
        </w:rPr>
        <w:t>年增加</w:t>
      </w:r>
      <w:r w:rsidR="00F360CA">
        <w:rPr>
          <w:rFonts w:eastAsia="標楷體"/>
        </w:rPr>
        <w:t>36.</w:t>
      </w:r>
      <w:r w:rsidR="00D47330">
        <w:rPr>
          <w:rFonts w:eastAsia="標楷體" w:hint="eastAsia"/>
        </w:rPr>
        <w:t>2</w:t>
      </w:r>
      <w:r w:rsidR="00F360CA">
        <w:rPr>
          <w:rFonts w:eastAsia="標楷體"/>
        </w:rPr>
        <w:t>%</w:t>
      </w:r>
      <w:r w:rsidR="00F360CA">
        <w:rPr>
          <w:rFonts w:eastAsia="標楷體" w:hint="eastAsia"/>
        </w:rPr>
        <w:t>。</w:t>
      </w:r>
    </w:p>
    <w:p w:rsidR="00F360CA" w:rsidRDefault="00BD69C2" w:rsidP="00B51259">
      <w:pPr>
        <w:widowControl/>
        <w:ind w:firstLineChars="200" w:firstLine="480"/>
        <w:jc w:val="both"/>
        <w:rPr>
          <w:rFonts w:eastAsia="標楷體"/>
        </w:rPr>
      </w:pPr>
      <w:r>
        <w:rPr>
          <w:rFonts w:eastAsia="標楷體"/>
        </w:rPr>
        <w:t>101</w:t>
      </w:r>
      <w:r>
        <w:rPr>
          <w:rFonts w:eastAsia="標楷體" w:hint="eastAsia"/>
        </w:rPr>
        <w:t>年</w:t>
      </w:r>
      <w:r w:rsidR="00F360CA">
        <w:rPr>
          <w:rFonts w:eastAsia="標楷體" w:hint="eastAsia"/>
        </w:rPr>
        <w:t>「婦女中途之家、庇護中心」</w:t>
      </w:r>
      <w:r w:rsidR="00F360CA">
        <w:rPr>
          <w:rFonts w:eastAsia="標楷體"/>
        </w:rPr>
        <w:t>40</w:t>
      </w:r>
      <w:r w:rsidR="00F360CA">
        <w:rPr>
          <w:rFonts w:eastAsia="標楷體" w:hint="eastAsia"/>
        </w:rPr>
        <w:t>所，提供庇護、收容服務計</w:t>
      </w:r>
      <w:r w:rsidR="00F360CA">
        <w:rPr>
          <w:rFonts w:eastAsia="標楷體"/>
        </w:rPr>
        <w:t>2,927</w:t>
      </w:r>
      <w:r w:rsidR="00F360CA">
        <w:rPr>
          <w:rFonts w:eastAsia="標楷體" w:hint="eastAsia"/>
        </w:rPr>
        <w:t>人次</w:t>
      </w:r>
      <w:r w:rsidR="0009503B">
        <w:rPr>
          <w:rFonts w:eastAsia="標楷體" w:hint="eastAsia"/>
        </w:rPr>
        <w:t>，</w:t>
      </w:r>
      <w:r w:rsidR="00F360CA">
        <w:rPr>
          <w:rFonts w:eastAsia="標楷體" w:hint="eastAsia"/>
        </w:rPr>
        <w:t>較</w:t>
      </w:r>
      <w:r w:rsidR="00CB3C2E">
        <w:rPr>
          <w:rFonts w:eastAsia="標楷體" w:hint="eastAsia"/>
        </w:rPr>
        <w:t>100</w:t>
      </w:r>
      <w:r w:rsidR="00F360CA">
        <w:rPr>
          <w:rFonts w:eastAsia="標楷體" w:hint="eastAsia"/>
        </w:rPr>
        <w:t>年</w:t>
      </w:r>
      <w:r>
        <w:rPr>
          <w:rFonts w:eastAsia="標楷體" w:hint="eastAsia"/>
        </w:rPr>
        <w:t>微</w:t>
      </w:r>
      <w:r w:rsidR="00F360CA">
        <w:rPr>
          <w:rFonts w:eastAsia="標楷體" w:hint="eastAsia"/>
        </w:rPr>
        <w:t>增</w:t>
      </w:r>
      <w:r w:rsidR="00F360CA">
        <w:rPr>
          <w:rFonts w:eastAsia="標楷體"/>
        </w:rPr>
        <w:t>0.3%</w:t>
      </w:r>
      <w:r w:rsidR="00F360CA">
        <w:rPr>
          <w:rFonts w:eastAsia="標楷體" w:hint="eastAsia"/>
        </w:rPr>
        <w:t>。</w:t>
      </w:r>
    </w:p>
    <w:p w:rsidR="00E81834" w:rsidRPr="00234F54" w:rsidRDefault="00BD69C2" w:rsidP="00B51259">
      <w:pPr>
        <w:widowControl/>
        <w:ind w:firstLineChars="200" w:firstLine="480"/>
        <w:jc w:val="both"/>
        <w:rPr>
          <w:rFonts w:eastAsia="標楷體"/>
        </w:rPr>
      </w:pPr>
      <w:r>
        <w:rPr>
          <w:rFonts w:eastAsia="標楷體"/>
        </w:rPr>
        <w:t>101</w:t>
      </w:r>
      <w:r>
        <w:rPr>
          <w:rFonts w:eastAsia="標楷體" w:hint="eastAsia"/>
        </w:rPr>
        <w:t>年</w:t>
      </w:r>
      <w:r w:rsidR="00E81834">
        <w:rPr>
          <w:rFonts w:eastAsia="標楷體" w:hint="eastAsia"/>
        </w:rPr>
        <w:t>「外籍配偶家庭照顧服務中心」計</w:t>
      </w:r>
      <w:r w:rsidR="00E81834">
        <w:rPr>
          <w:rFonts w:eastAsia="標楷體"/>
        </w:rPr>
        <w:t>35</w:t>
      </w:r>
      <w:r w:rsidR="00E81834">
        <w:rPr>
          <w:rFonts w:eastAsia="標楷體" w:hint="eastAsia"/>
        </w:rPr>
        <w:t>所</w:t>
      </w:r>
      <w:r w:rsidR="00413C35">
        <w:rPr>
          <w:rFonts w:eastAsia="標楷體" w:hint="eastAsia"/>
        </w:rPr>
        <w:t>，提供</w:t>
      </w:r>
      <w:r w:rsidR="00E81834" w:rsidRPr="00FA5228">
        <w:rPr>
          <w:rFonts w:eastAsia="標楷體" w:hint="eastAsia"/>
        </w:rPr>
        <w:t>外籍配偶家庭福利服務</w:t>
      </w:r>
      <w:r w:rsidR="00E81834">
        <w:rPr>
          <w:rFonts w:eastAsia="標楷體" w:hint="eastAsia"/>
        </w:rPr>
        <w:t>共計</w:t>
      </w:r>
      <w:r w:rsidR="00E81834">
        <w:rPr>
          <w:rFonts w:eastAsia="標楷體"/>
        </w:rPr>
        <w:t>38</w:t>
      </w:r>
      <w:r w:rsidR="00E81834">
        <w:rPr>
          <w:rFonts w:eastAsia="標楷體" w:hint="eastAsia"/>
        </w:rPr>
        <w:t>萬</w:t>
      </w:r>
      <w:r w:rsidR="00E81834">
        <w:rPr>
          <w:rFonts w:eastAsia="標楷體"/>
        </w:rPr>
        <w:t>5,</w:t>
      </w:r>
      <w:r w:rsidR="00A305B9">
        <w:rPr>
          <w:rFonts w:eastAsia="標楷體" w:hint="eastAsia"/>
        </w:rPr>
        <w:t>431</w:t>
      </w:r>
      <w:r w:rsidR="00E81834">
        <w:rPr>
          <w:rFonts w:eastAsia="標楷體" w:hint="eastAsia"/>
        </w:rPr>
        <w:t>人次，其中以「電話訪視」服務</w:t>
      </w:r>
      <w:r w:rsidR="00E81834">
        <w:rPr>
          <w:rFonts w:eastAsia="標楷體"/>
        </w:rPr>
        <w:t>9</w:t>
      </w:r>
      <w:r w:rsidR="00E81834">
        <w:rPr>
          <w:rFonts w:eastAsia="標楷體" w:hint="eastAsia"/>
        </w:rPr>
        <w:t>萬</w:t>
      </w:r>
      <w:r w:rsidR="00E81834">
        <w:rPr>
          <w:rFonts w:eastAsia="標楷體"/>
        </w:rPr>
        <w:t>1,362</w:t>
      </w:r>
      <w:r w:rsidR="00E81834">
        <w:rPr>
          <w:rFonts w:eastAsia="標楷體" w:hint="eastAsia"/>
        </w:rPr>
        <w:t>人次</w:t>
      </w:r>
      <w:r w:rsidR="0098310C">
        <w:rPr>
          <w:rFonts w:eastAsia="標楷體" w:hint="eastAsia"/>
        </w:rPr>
        <w:t>為最高，</w:t>
      </w:r>
      <w:r w:rsidR="00E81834">
        <w:rPr>
          <w:rFonts w:eastAsia="標楷體" w:hint="eastAsia"/>
        </w:rPr>
        <w:t>占</w:t>
      </w:r>
      <w:r w:rsidR="00E81834">
        <w:rPr>
          <w:rFonts w:eastAsia="標楷體"/>
        </w:rPr>
        <w:t>23.7%</w:t>
      </w:r>
      <w:r w:rsidR="00E81834">
        <w:rPr>
          <w:rFonts w:eastAsia="標楷體" w:hint="eastAsia"/>
        </w:rPr>
        <w:t>。</w:t>
      </w:r>
      <w:r w:rsidR="00E81834" w:rsidRPr="00234F54">
        <w:rPr>
          <w:rFonts w:eastAsia="標楷體"/>
        </w:rPr>
        <w:br w:type="page"/>
      </w:r>
    </w:p>
    <w:p w:rsidR="00E81834" w:rsidRDefault="00E81834" w:rsidP="009E519C">
      <w:pPr>
        <w:pStyle w:val="2"/>
        <w:snapToGrid w:val="0"/>
        <w:spacing w:line="240" w:lineRule="auto"/>
        <w:ind w:firstLine="284"/>
        <w:rPr>
          <w:rFonts w:ascii="Times New Roman" w:eastAsia="標楷體" w:hAnsi="Times New Roman"/>
          <w:sz w:val="28"/>
          <w:lang w:val="x-none"/>
        </w:rPr>
      </w:pPr>
      <w:bookmarkStart w:id="9" w:name="_Toc378767212"/>
      <w:r w:rsidRPr="004C7A0F">
        <w:rPr>
          <w:rFonts w:ascii="Times New Roman" w:eastAsia="標楷體" w:hAnsi="Times New Roman"/>
          <w:sz w:val="28"/>
        </w:rPr>
        <w:lastRenderedPageBreak/>
        <w:t>(</w:t>
      </w:r>
      <w:r>
        <w:rPr>
          <w:rFonts w:ascii="Times New Roman" w:eastAsia="標楷體" w:hAnsi="Times New Roman" w:hint="eastAsia"/>
          <w:sz w:val="28"/>
          <w:lang w:val="x-none"/>
        </w:rPr>
        <w:t>三</w:t>
      </w:r>
      <w:r w:rsidRPr="004C7A0F">
        <w:rPr>
          <w:rFonts w:ascii="Times New Roman" w:eastAsia="標楷體" w:hAnsi="Times New Roman"/>
          <w:sz w:val="28"/>
        </w:rPr>
        <w:t xml:space="preserve">) </w:t>
      </w:r>
      <w:r>
        <w:rPr>
          <w:rFonts w:ascii="Times New Roman" w:eastAsia="標楷體" w:hAnsi="Times New Roman" w:hint="eastAsia"/>
          <w:sz w:val="28"/>
          <w:lang w:val="x-none"/>
        </w:rPr>
        <w:t>老人福利</w:t>
      </w:r>
      <w:bookmarkEnd w:id="9"/>
    </w:p>
    <w:p w:rsidR="00E81834" w:rsidRPr="0098310C" w:rsidRDefault="00E81834" w:rsidP="00B51259">
      <w:pPr>
        <w:ind w:leftChars="354" w:left="850"/>
        <w:rPr>
          <w:rFonts w:eastAsia="標楷體"/>
          <w:b/>
        </w:rPr>
      </w:pPr>
      <w:r w:rsidRPr="0098310C">
        <w:rPr>
          <w:rFonts w:eastAsia="標楷體" w:hint="eastAsia"/>
          <w:b/>
        </w:rPr>
        <w:t>老人福利機構以養護型占率及使用率</w:t>
      </w:r>
      <w:r w:rsidR="00EA2360">
        <w:rPr>
          <w:rFonts w:eastAsia="標楷體" w:hint="eastAsia"/>
          <w:b/>
        </w:rPr>
        <w:t>較</w:t>
      </w:r>
      <w:r w:rsidRPr="0098310C">
        <w:rPr>
          <w:rFonts w:eastAsia="標楷體" w:hint="eastAsia"/>
          <w:b/>
        </w:rPr>
        <w:t>高</w:t>
      </w:r>
    </w:p>
    <w:p w:rsidR="00E81834" w:rsidRPr="002B6015" w:rsidRDefault="00E81834" w:rsidP="002B6015">
      <w:pPr>
        <w:widowControl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101</w:t>
      </w:r>
      <w:r>
        <w:rPr>
          <w:rFonts w:ascii="標楷體" w:eastAsia="標楷體" w:hAnsi="標楷體" w:hint="eastAsia"/>
          <w:sz w:val="28"/>
          <w:szCs w:val="28"/>
        </w:rPr>
        <w:t>年</w:t>
      </w:r>
      <w:r w:rsidRPr="002B6015">
        <w:rPr>
          <w:rFonts w:ascii="標楷體" w:eastAsia="標楷體" w:hAnsi="標楷體" w:hint="eastAsia"/>
          <w:sz w:val="28"/>
          <w:szCs w:val="28"/>
        </w:rPr>
        <w:t>老人</w:t>
      </w:r>
      <w:r>
        <w:rPr>
          <w:rFonts w:ascii="標楷體" w:eastAsia="標楷體" w:hAnsi="標楷體" w:hint="eastAsia"/>
          <w:sz w:val="28"/>
          <w:szCs w:val="28"/>
        </w:rPr>
        <w:t>長期照顧</w:t>
      </w:r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 w:hint="eastAsia"/>
          <w:sz w:val="28"/>
          <w:szCs w:val="28"/>
        </w:rPr>
        <w:t>長期照護型及養護型</w:t>
      </w:r>
      <w:r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、安養</w:t>
      </w:r>
      <w:r w:rsidRPr="002B6015">
        <w:rPr>
          <w:rFonts w:ascii="標楷體" w:eastAsia="標楷體" w:hAnsi="標楷體" w:hint="eastAsia"/>
          <w:sz w:val="28"/>
          <w:szCs w:val="28"/>
        </w:rPr>
        <w:t>機構使用率</w:t>
      </w:r>
    </w:p>
    <w:p w:rsidR="00E81834" w:rsidRPr="00D81CCA" w:rsidRDefault="007E2D8F" w:rsidP="00443B0B">
      <w:pPr>
        <w:widowControl/>
        <w:jc w:val="center"/>
      </w:pPr>
      <w:r>
        <w:rPr>
          <w:noProof/>
        </w:rPr>
        <w:drawing>
          <wp:inline distT="0" distB="0" distL="0" distR="0" wp14:anchorId="596116BC" wp14:editId="7CB20B8D">
            <wp:extent cx="4972050" cy="2390775"/>
            <wp:effectExtent l="0" t="0" r="0" b="0"/>
            <wp:docPr id="3" name="圖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81834" w:rsidRPr="00061CBD" w:rsidRDefault="00061CBD" w:rsidP="00443B0B">
      <w:pPr>
        <w:widowControl/>
        <w:jc w:val="center"/>
      </w:pPr>
      <w:r w:rsidRPr="00061CBD">
        <w:rPr>
          <w:rFonts w:ascii="標楷體" w:eastAsia="標楷體" w:hAnsi="標楷體" w:hint="eastAsia"/>
        </w:rPr>
        <w:t>註：</w:t>
      </w:r>
      <m:oMath>
        <m:r>
          <m:rPr>
            <m:sty m:val="p"/>
          </m:rPr>
          <w:rPr>
            <w:rFonts w:ascii="Cambria Math" w:eastAsia="標楷體" w:hAnsi="Cambria Math"/>
          </w:rPr>
          <m:t>使用率</m:t>
        </m:r>
        <m:r>
          <m:rPr>
            <m:sty m:val="p"/>
          </m:rPr>
          <w:rPr>
            <w:rFonts w:ascii="Cambria Math" w:eastAsia="標楷體" w:hAnsi="Cambria Math"/>
          </w:rPr>
          <m:t>=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實際進住人數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可供進住人數</m:t>
            </m:r>
          </m:den>
        </m:f>
        <m:r>
          <w:rPr>
            <w:rFonts w:ascii="Cambria Math" w:eastAsia="標楷體" w:hAnsi="Cambria Math"/>
          </w:rPr>
          <m:t>×</m:t>
        </m:r>
        <m:r>
          <m:rPr>
            <m:sty m:val="p"/>
          </m:rPr>
          <w:rPr>
            <w:rFonts w:ascii="Cambria Math" w:eastAsia="標楷體" w:hAnsi="Cambria Math"/>
          </w:rPr>
          <m:t>100%</m:t>
        </m:r>
      </m:oMath>
    </w:p>
    <w:p w:rsidR="00E81834" w:rsidRPr="008E657E" w:rsidRDefault="00E81834" w:rsidP="00443B0B">
      <w:pPr>
        <w:widowControl/>
        <w:jc w:val="center"/>
        <w:rPr>
          <w:rFonts w:ascii="標楷體" w:eastAsia="標楷體" w:hAnsi="標楷體"/>
          <w:sz w:val="28"/>
          <w:szCs w:val="28"/>
        </w:rPr>
      </w:pPr>
      <w:r w:rsidRPr="008E657E">
        <w:rPr>
          <w:rFonts w:ascii="標楷體" w:eastAsia="標楷體" w:hAnsi="標楷體" w:hint="eastAsia"/>
          <w:sz w:val="28"/>
          <w:szCs w:val="28"/>
        </w:rPr>
        <w:t>歷年老人福利服務</w:t>
      </w:r>
    </w:p>
    <w:p w:rsidR="00E81834" w:rsidRPr="002D76BA" w:rsidRDefault="00DD4FB1" w:rsidP="00443B0B">
      <w:pPr>
        <w:widowControl/>
        <w:jc w:val="center"/>
      </w:pPr>
      <w:r w:rsidRPr="00DD4FB1">
        <w:rPr>
          <w:noProof/>
        </w:rPr>
        <w:drawing>
          <wp:inline distT="0" distB="0" distL="0" distR="0" wp14:anchorId="55721795" wp14:editId="14FF969C">
            <wp:extent cx="6301105" cy="1702157"/>
            <wp:effectExtent l="0" t="0" r="4445" b="0"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1702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834" w:rsidRPr="00B14EC2" w:rsidRDefault="00E81834" w:rsidP="00AC6D7C">
      <w:pPr>
        <w:widowControl/>
        <w:spacing w:beforeLines="100" w:before="360"/>
        <w:ind w:firstLineChars="200" w:firstLine="480"/>
        <w:jc w:val="both"/>
        <w:rPr>
          <w:rFonts w:eastAsia="標楷體"/>
        </w:rPr>
      </w:pPr>
      <w:r>
        <w:rPr>
          <w:rFonts w:eastAsia="標楷體" w:hint="eastAsia"/>
        </w:rPr>
        <w:t>因應高齡人口快速增加，老人照顧</w:t>
      </w:r>
      <w:r w:rsidR="0098310C">
        <w:rPr>
          <w:rFonts w:eastAsia="標楷體" w:hint="eastAsia"/>
        </w:rPr>
        <w:t>機構</w:t>
      </w:r>
      <w:r>
        <w:rPr>
          <w:rFonts w:eastAsia="標楷體" w:hint="eastAsia"/>
        </w:rPr>
        <w:t>隨之增加，截至</w:t>
      </w:r>
      <w:r>
        <w:rPr>
          <w:rFonts w:eastAsia="標楷體"/>
        </w:rPr>
        <w:t>101</w:t>
      </w:r>
      <w:r>
        <w:rPr>
          <w:rFonts w:eastAsia="標楷體" w:hint="eastAsia"/>
        </w:rPr>
        <w:t>年</w:t>
      </w:r>
      <w:r w:rsidRPr="00C96698">
        <w:rPr>
          <w:rFonts w:eastAsia="標楷體" w:hint="eastAsia"/>
        </w:rPr>
        <w:t>老人長期照顧、安養機構</w:t>
      </w:r>
      <w:r>
        <w:rPr>
          <w:rFonts w:eastAsia="標楷體" w:hint="eastAsia"/>
        </w:rPr>
        <w:t>計</w:t>
      </w:r>
      <w:r>
        <w:rPr>
          <w:rFonts w:eastAsia="標楷體"/>
        </w:rPr>
        <w:t>1,034</w:t>
      </w:r>
      <w:r>
        <w:rPr>
          <w:rFonts w:eastAsia="標楷體" w:hint="eastAsia"/>
        </w:rPr>
        <w:t>所，可供進住</w:t>
      </w:r>
      <w:r w:rsidR="0098310C">
        <w:rPr>
          <w:rFonts w:eastAsia="標楷體" w:hint="eastAsia"/>
        </w:rPr>
        <w:t>數</w:t>
      </w:r>
      <w:r>
        <w:rPr>
          <w:rFonts w:eastAsia="標楷體"/>
        </w:rPr>
        <w:t>5</w:t>
      </w:r>
      <w:r>
        <w:rPr>
          <w:rFonts w:eastAsia="標楷體" w:hint="eastAsia"/>
        </w:rPr>
        <w:t>萬</w:t>
      </w:r>
      <w:r>
        <w:rPr>
          <w:rFonts w:eastAsia="標楷體"/>
        </w:rPr>
        <w:t>6,910</w:t>
      </w:r>
      <w:r>
        <w:rPr>
          <w:rFonts w:eastAsia="標楷體" w:hint="eastAsia"/>
        </w:rPr>
        <w:t>人，實際進住</w:t>
      </w:r>
      <w:r w:rsidR="0098310C">
        <w:rPr>
          <w:rFonts w:eastAsia="標楷體" w:hint="eastAsia"/>
        </w:rPr>
        <w:t>數</w:t>
      </w:r>
      <w:r>
        <w:rPr>
          <w:rFonts w:eastAsia="標楷體"/>
        </w:rPr>
        <w:t>4</w:t>
      </w:r>
      <w:r>
        <w:rPr>
          <w:rFonts w:eastAsia="標楷體" w:hint="eastAsia"/>
        </w:rPr>
        <w:t>萬</w:t>
      </w:r>
      <w:r>
        <w:rPr>
          <w:rFonts w:eastAsia="標楷體"/>
        </w:rPr>
        <w:t>2,800</w:t>
      </w:r>
      <w:r>
        <w:rPr>
          <w:rFonts w:eastAsia="標楷體" w:hint="eastAsia"/>
        </w:rPr>
        <w:t>人，使用率</w:t>
      </w:r>
      <w:r>
        <w:rPr>
          <w:rFonts w:eastAsia="標楷體"/>
        </w:rPr>
        <w:t>75.2%</w:t>
      </w:r>
      <w:r>
        <w:rPr>
          <w:rFonts w:eastAsia="標楷體" w:hint="eastAsia"/>
        </w:rPr>
        <w:t>，其中以「養護型」機構使用率</w:t>
      </w:r>
      <w:r>
        <w:rPr>
          <w:rFonts w:eastAsia="標楷體"/>
        </w:rPr>
        <w:t>76.4%</w:t>
      </w:r>
      <w:r>
        <w:rPr>
          <w:rFonts w:eastAsia="標楷體" w:hint="eastAsia"/>
        </w:rPr>
        <w:t>為最高。</w:t>
      </w:r>
    </w:p>
    <w:p w:rsidR="00E81834" w:rsidRDefault="0098310C" w:rsidP="00AC6D7C">
      <w:pPr>
        <w:widowControl/>
        <w:spacing w:beforeLines="100" w:before="360"/>
        <w:ind w:firstLineChars="200" w:firstLine="480"/>
        <w:jc w:val="both"/>
        <w:rPr>
          <w:rFonts w:eastAsia="標楷體"/>
        </w:rPr>
      </w:pPr>
      <w:r>
        <w:rPr>
          <w:rFonts w:eastAsia="標楷體" w:hint="eastAsia"/>
        </w:rPr>
        <w:t>為讓</w:t>
      </w:r>
      <w:r w:rsidR="00E81834">
        <w:rPr>
          <w:rFonts w:eastAsia="標楷體" w:hint="eastAsia"/>
        </w:rPr>
        <w:t>慢性病及功能障礙的人</w:t>
      </w:r>
      <w:r>
        <w:rPr>
          <w:rFonts w:eastAsia="標楷體" w:hint="eastAsia"/>
        </w:rPr>
        <w:t>有</w:t>
      </w:r>
      <w:r w:rsidR="00E81834">
        <w:rPr>
          <w:rFonts w:eastAsia="標楷體" w:hint="eastAsia"/>
        </w:rPr>
        <w:t>全方位照顧，</w:t>
      </w:r>
      <w:r w:rsidR="00E81834">
        <w:rPr>
          <w:rFonts w:eastAsia="標楷體"/>
        </w:rPr>
        <w:t>97</w:t>
      </w:r>
      <w:r w:rsidR="00E81834">
        <w:rPr>
          <w:rFonts w:eastAsia="標楷體" w:hint="eastAsia"/>
        </w:rPr>
        <w:t>年開始實施長期照顧十年計畫，</w:t>
      </w:r>
      <w:r w:rsidR="00E81834">
        <w:rPr>
          <w:rFonts w:eastAsia="標楷體"/>
        </w:rPr>
        <w:t>101</w:t>
      </w:r>
      <w:r w:rsidR="00E81834">
        <w:rPr>
          <w:rFonts w:eastAsia="標楷體" w:hint="eastAsia"/>
        </w:rPr>
        <w:t>年服務人數或人次</w:t>
      </w:r>
      <w:r w:rsidR="00317A0B">
        <w:rPr>
          <w:rFonts w:eastAsia="標楷體" w:hint="eastAsia"/>
        </w:rPr>
        <w:t>均</w:t>
      </w:r>
      <w:r w:rsidR="00E81834">
        <w:rPr>
          <w:rFonts w:eastAsia="標楷體" w:hint="eastAsia"/>
        </w:rPr>
        <w:t>以「居家服務」最高，分別為</w:t>
      </w:r>
      <w:r w:rsidR="00E81834">
        <w:rPr>
          <w:rFonts w:eastAsia="標楷體"/>
        </w:rPr>
        <w:t>3</w:t>
      </w:r>
      <w:r w:rsidR="00E81834">
        <w:rPr>
          <w:rFonts w:eastAsia="標楷體" w:hint="eastAsia"/>
        </w:rPr>
        <w:t>萬</w:t>
      </w:r>
      <w:r w:rsidR="00E81834">
        <w:rPr>
          <w:rFonts w:eastAsia="標楷體"/>
        </w:rPr>
        <w:t>7,994</w:t>
      </w:r>
      <w:r w:rsidR="00E81834">
        <w:rPr>
          <w:rFonts w:eastAsia="標楷體" w:hint="eastAsia"/>
        </w:rPr>
        <w:t>人及</w:t>
      </w:r>
      <w:r w:rsidR="00E81834">
        <w:rPr>
          <w:rFonts w:eastAsia="標楷體"/>
        </w:rPr>
        <w:t>559</w:t>
      </w:r>
      <w:r w:rsidR="00E81834">
        <w:rPr>
          <w:rFonts w:eastAsia="標楷體" w:hint="eastAsia"/>
        </w:rPr>
        <w:t>萬</w:t>
      </w:r>
      <w:r w:rsidR="00E81834">
        <w:rPr>
          <w:rFonts w:eastAsia="標楷體"/>
        </w:rPr>
        <w:t>5,740</w:t>
      </w:r>
      <w:r w:rsidR="00E81834">
        <w:rPr>
          <w:rFonts w:eastAsia="標楷體" w:hint="eastAsia"/>
        </w:rPr>
        <w:t>人次，與</w:t>
      </w:r>
      <w:r w:rsidR="00CD7C94">
        <w:rPr>
          <w:rFonts w:eastAsia="標楷體" w:hint="eastAsia"/>
        </w:rPr>
        <w:t>100</w:t>
      </w:r>
      <w:r w:rsidR="00E81834">
        <w:rPr>
          <w:rFonts w:eastAsia="標楷體" w:hint="eastAsia"/>
        </w:rPr>
        <w:t>年比，以「家庭托顧」人數增加</w:t>
      </w:r>
      <w:r w:rsidR="00E81834">
        <w:rPr>
          <w:rFonts w:eastAsia="標楷體"/>
        </w:rPr>
        <w:t>91.9%</w:t>
      </w:r>
      <w:r w:rsidR="00E81834">
        <w:rPr>
          <w:rFonts w:eastAsia="標楷體" w:hint="eastAsia"/>
        </w:rPr>
        <w:t>為最高，其次為「日間照顧」人數增加</w:t>
      </w:r>
      <w:r w:rsidR="00E81834">
        <w:rPr>
          <w:rFonts w:eastAsia="標楷體"/>
        </w:rPr>
        <w:t>47.6%</w:t>
      </w:r>
      <w:r w:rsidR="00E81834">
        <w:rPr>
          <w:rFonts w:eastAsia="標楷體" w:hint="eastAsia"/>
        </w:rPr>
        <w:t>。</w:t>
      </w:r>
    </w:p>
    <w:p w:rsidR="00E81834" w:rsidRDefault="00E81834" w:rsidP="00AC6D7C">
      <w:pPr>
        <w:widowControl/>
        <w:spacing w:beforeLines="100" w:before="360"/>
        <w:ind w:firstLineChars="200" w:firstLine="480"/>
        <w:jc w:val="both"/>
        <w:rPr>
          <w:rFonts w:ascii="Cambria" w:eastAsia="標楷體" w:hAnsi="Cambria"/>
          <w:b/>
          <w:bCs/>
          <w:kern w:val="52"/>
          <w:sz w:val="32"/>
          <w:szCs w:val="52"/>
          <w:lang w:val="x-none" w:eastAsia="x-none"/>
        </w:rPr>
      </w:pPr>
      <w:r>
        <w:rPr>
          <w:rFonts w:eastAsia="標楷體" w:hint="eastAsia"/>
        </w:rPr>
        <w:t>對生活困苦無依且未接受政府公費收容安置的</w:t>
      </w:r>
      <w:r w:rsidR="00AC6D7C">
        <w:rPr>
          <w:rFonts w:eastAsia="標楷體" w:hint="eastAsia"/>
        </w:rPr>
        <w:t>中低收入</w:t>
      </w:r>
      <w:r>
        <w:rPr>
          <w:rFonts w:eastAsia="標楷體" w:hint="eastAsia"/>
        </w:rPr>
        <w:t>老人，為保障其經濟安全，每月發給生活津貼，</w:t>
      </w:r>
      <w:r>
        <w:rPr>
          <w:rFonts w:eastAsia="標楷體"/>
        </w:rPr>
        <w:t>101</w:t>
      </w:r>
      <w:r>
        <w:rPr>
          <w:rFonts w:eastAsia="標楷體" w:hint="eastAsia"/>
        </w:rPr>
        <w:t>年計有</w:t>
      </w:r>
      <w:r>
        <w:rPr>
          <w:rFonts w:eastAsia="標楷體"/>
        </w:rPr>
        <w:t>12</w:t>
      </w:r>
      <w:r>
        <w:rPr>
          <w:rFonts w:eastAsia="標楷體" w:hint="eastAsia"/>
        </w:rPr>
        <w:t>萬</w:t>
      </w:r>
      <w:r>
        <w:rPr>
          <w:rFonts w:eastAsia="標楷體"/>
        </w:rPr>
        <w:t>968</w:t>
      </w:r>
      <w:r>
        <w:rPr>
          <w:rFonts w:eastAsia="標楷體" w:hint="eastAsia"/>
        </w:rPr>
        <w:t>人接受津貼，發放津貼達</w:t>
      </w:r>
      <w:r>
        <w:rPr>
          <w:rFonts w:eastAsia="標楷體"/>
        </w:rPr>
        <w:t>92</w:t>
      </w:r>
      <w:r w:rsidR="00AC6D7C">
        <w:rPr>
          <w:rFonts w:eastAsia="標楷體" w:hint="eastAsia"/>
        </w:rPr>
        <w:t>.4</w:t>
      </w:r>
      <w:r>
        <w:rPr>
          <w:rFonts w:eastAsia="標楷體" w:hint="eastAsia"/>
        </w:rPr>
        <w:t>億元</w:t>
      </w:r>
      <w:r w:rsidRPr="00AC5BA0">
        <w:rPr>
          <w:rFonts w:eastAsia="標楷體" w:hint="eastAsia"/>
        </w:rPr>
        <w:t>，較</w:t>
      </w:r>
      <w:r w:rsidR="00CD7C94">
        <w:rPr>
          <w:rFonts w:eastAsia="標楷體" w:hint="eastAsia"/>
        </w:rPr>
        <w:t>100</w:t>
      </w:r>
      <w:r w:rsidRPr="00AC5BA0">
        <w:rPr>
          <w:rFonts w:eastAsia="標楷體" w:hint="eastAsia"/>
        </w:rPr>
        <w:t>年</w:t>
      </w:r>
      <w:r>
        <w:rPr>
          <w:rFonts w:eastAsia="標楷體" w:hint="eastAsia"/>
        </w:rPr>
        <w:t>人數微幅</w:t>
      </w:r>
      <w:r w:rsidRPr="00AC5BA0">
        <w:rPr>
          <w:rFonts w:eastAsia="標楷體" w:hint="eastAsia"/>
        </w:rPr>
        <w:t>增加</w:t>
      </w:r>
      <w:r>
        <w:rPr>
          <w:rFonts w:eastAsia="標楷體"/>
        </w:rPr>
        <w:t>0.</w:t>
      </w:r>
      <w:r w:rsidR="00FD40DA">
        <w:rPr>
          <w:rFonts w:eastAsia="標楷體" w:hint="eastAsia"/>
        </w:rPr>
        <w:t>6</w:t>
      </w:r>
      <w:r w:rsidRPr="00AC5BA0">
        <w:rPr>
          <w:rFonts w:eastAsia="標楷體"/>
        </w:rPr>
        <w:t>%</w:t>
      </w:r>
      <w:r>
        <w:rPr>
          <w:rFonts w:ascii="標楷體" w:eastAsia="標楷體" w:hAnsi="標楷體" w:hint="eastAsia"/>
        </w:rPr>
        <w:t>。</w:t>
      </w:r>
      <w:r>
        <w:br w:type="page"/>
      </w:r>
    </w:p>
    <w:p w:rsidR="00E81834" w:rsidRDefault="00E81834" w:rsidP="00B727A9">
      <w:pPr>
        <w:pStyle w:val="2"/>
        <w:snapToGrid w:val="0"/>
        <w:spacing w:line="240" w:lineRule="auto"/>
        <w:ind w:firstLine="284"/>
        <w:rPr>
          <w:rFonts w:ascii="Times New Roman" w:eastAsia="標楷體" w:hAnsi="Times New Roman"/>
          <w:sz w:val="28"/>
        </w:rPr>
      </w:pPr>
      <w:bookmarkStart w:id="10" w:name="_Toc305657220"/>
      <w:bookmarkStart w:id="11" w:name="_Toc378767213"/>
      <w:bookmarkEnd w:id="7"/>
      <w:r w:rsidRPr="00CD2A1A">
        <w:rPr>
          <w:rFonts w:ascii="Times New Roman" w:eastAsia="標楷體" w:hAnsi="Times New Roman"/>
          <w:sz w:val="28"/>
        </w:rPr>
        <w:lastRenderedPageBreak/>
        <w:t>(</w:t>
      </w:r>
      <w:r>
        <w:rPr>
          <w:rFonts w:ascii="Times New Roman" w:eastAsia="標楷體" w:hAnsi="Times New Roman" w:hint="eastAsia"/>
          <w:sz w:val="28"/>
        </w:rPr>
        <w:t>四</w:t>
      </w:r>
      <w:r w:rsidRPr="00CD2A1A">
        <w:rPr>
          <w:rFonts w:ascii="Times New Roman" w:eastAsia="標楷體" w:hAnsi="Times New Roman"/>
          <w:sz w:val="28"/>
        </w:rPr>
        <w:t>)</w:t>
      </w:r>
      <w:bookmarkEnd w:id="10"/>
      <w:r>
        <w:rPr>
          <w:rFonts w:ascii="Times New Roman" w:eastAsia="標楷體" w:hAnsi="Times New Roman"/>
          <w:sz w:val="28"/>
        </w:rPr>
        <w:t xml:space="preserve"> </w:t>
      </w:r>
      <w:r w:rsidRPr="009E519C">
        <w:rPr>
          <w:rFonts w:ascii="Times New Roman" w:eastAsia="標楷體" w:hAnsi="Times New Roman" w:hint="eastAsia"/>
          <w:sz w:val="28"/>
        </w:rPr>
        <w:t>身心障礙者福利</w:t>
      </w:r>
      <w:bookmarkEnd w:id="11"/>
    </w:p>
    <w:p w:rsidR="00E81834" w:rsidRPr="00EE114D" w:rsidRDefault="00E81834" w:rsidP="00B51259">
      <w:pPr>
        <w:ind w:leftChars="354" w:left="850"/>
        <w:rPr>
          <w:rFonts w:eastAsia="標楷體"/>
          <w:b/>
        </w:rPr>
      </w:pPr>
      <w:r w:rsidRPr="00EE114D">
        <w:rPr>
          <w:rFonts w:eastAsia="標楷體"/>
          <w:b/>
        </w:rPr>
        <w:t>101</w:t>
      </w:r>
      <w:r w:rsidRPr="00EE114D">
        <w:rPr>
          <w:rFonts w:eastAsia="標楷體" w:hint="eastAsia"/>
          <w:b/>
        </w:rPr>
        <w:t>年身心障礙者以「生活補助」為最多</w:t>
      </w:r>
    </w:p>
    <w:p w:rsidR="00E81834" w:rsidRPr="006A5DFC" w:rsidRDefault="00C8033B" w:rsidP="00134F03">
      <w:pPr>
        <w:snapToGrid w:val="0"/>
        <w:spacing w:afterLines="50" w:after="180"/>
        <w:jc w:val="center"/>
        <w:rPr>
          <w:rFonts w:eastAsia="標楷體"/>
          <w:sz w:val="32"/>
          <w:szCs w:val="32"/>
        </w:rPr>
      </w:pPr>
      <w:r>
        <w:rPr>
          <w:rFonts w:ascii="標楷體" w:eastAsia="標楷體" w:hAnsi="標楷體"/>
          <w:sz w:val="28"/>
          <w:szCs w:val="28"/>
        </w:rPr>
        <w:t>101</w:t>
      </w:r>
      <w:r>
        <w:rPr>
          <w:rFonts w:ascii="標楷體" w:eastAsia="標楷體" w:hAnsi="標楷體" w:hint="eastAsia"/>
          <w:sz w:val="28"/>
          <w:szCs w:val="28"/>
        </w:rPr>
        <w:t>年</w:t>
      </w:r>
      <w:r w:rsidR="0076781B">
        <w:rPr>
          <w:rFonts w:ascii="標楷體" w:eastAsia="標楷體" w:hAnsi="標楷體" w:hint="eastAsia"/>
          <w:sz w:val="28"/>
          <w:szCs w:val="28"/>
        </w:rPr>
        <w:t>身心障礙者</w:t>
      </w:r>
      <w:r>
        <w:rPr>
          <w:rFonts w:ascii="標楷體" w:eastAsia="標楷體" w:hAnsi="標楷體" w:hint="eastAsia"/>
          <w:sz w:val="28"/>
          <w:szCs w:val="28"/>
        </w:rPr>
        <w:t>障礙類別結構圖</w:t>
      </w:r>
    </w:p>
    <w:p w:rsidR="00E81834" w:rsidRDefault="008F0D50" w:rsidP="00134F03">
      <w:pPr>
        <w:snapToGrid w:val="0"/>
        <w:spacing w:afterLines="50" w:after="180"/>
        <w:jc w:val="center"/>
        <w:rPr>
          <w:rFonts w:eastAsia="標楷體"/>
          <w:sz w:val="32"/>
          <w:szCs w:val="32"/>
        </w:rPr>
      </w:pPr>
      <w:r>
        <w:rPr>
          <w:noProof/>
        </w:rPr>
        <w:drawing>
          <wp:inline distT="0" distB="0" distL="0" distR="0" wp14:anchorId="2729C816" wp14:editId="08EDCE5C">
            <wp:extent cx="3020291" cy="2611582"/>
            <wp:effectExtent l="0" t="0" r="0" b="0"/>
            <wp:docPr id="130" name="圖片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81834" w:rsidRPr="00623A84" w:rsidRDefault="00E81834" w:rsidP="00134F03">
      <w:pPr>
        <w:snapToGrid w:val="0"/>
        <w:spacing w:afterLines="50" w:after="180"/>
        <w:jc w:val="center"/>
        <w:rPr>
          <w:rFonts w:eastAsia="標楷體"/>
          <w:sz w:val="28"/>
          <w:szCs w:val="28"/>
        </w:rPr>
      </w:pPr>
      <w:r w:rsidRPr="00623A84">
        <w:rPr>
          <w:rFonts w:eastAsia="標楷體" w:hint="eastAsia"/>
          <w:sz w:val="28"/>
          <w:szCs w:val="28"/>
        </w:rPr>
        <w:t>歷年身心障礙</w:t>
      </w:r>
      <w:r>
        <w:rPr>
          <w:rFonts w:eastAsia="標楷體" w:hint="eastAsia"/>
          <w:sz w:val="28"/>
          <w:szCs w:val="28"/>
        </w:rPr>
        <w:t>福利機構</w:t>
      </w:r>
      <w:r w:rsidR="0076781B">
        <w:rPr>
          <w:rFonts w:eastAsia="標楷體" w:hint="eastAsia"/>
          <w:sz w:val="28"/>
          <w:szCs w:val="28"/>
        </w:rPr>
        <w:t>數</w:t>
      </w:r>
      <w:r w:rsidR="0076781B" w:rsidRPr="00623A84">
        <w:rPr>
          <w:rFonts w:eastAsia="標楷體" w:hint="eastAsia"/>
          <w:sz w:val="28"/>
          <w:szCs w:val="28"/>
        </w:rPr>
        <w:t>、</w:t>
      </w:r>
      <w:r w:rsidRPr="00623A84">
        <w:rPr>
          <w:rFonts w:eastAsia="標楷體" w:hint="eastAsia"/>
          <w:sz w:val="28"/>
          <w:szCs w:val="28"/>
        </w:rPr>
        <w:t>生活</w:t>
      </w:r>
      <w:r w:rsidR="0076781B">
        <w:rPr>
          <w:rFonts w:eastAsia="標楷體" w:hint="eastAsia"/>
          <w:sz w:val="28"/>
          <w:szCs w:val="28"/>
        </w:rPr>
        <w:t>補助</w:t>
      </w:r>
      <w:r w:rsidRPr="00623A84">
        <w:rPr>
          <w:rFonts w:eastAsia="標楷體" w:hint="eastAsia"/>
          <w:sz w:val="28"/>
          <w:szCs w:val="28"/>
        </w:rPr>
        <w:t>、輔助器具及托育養護補助</w:t>
      </w:r>
    </w:p>
    <w:p w:rsidR="00E81834" w:rsidRPr="002D76BA" w:rsidRDefault="00DD4FB1">
      <w:pPr>
        <w:widowControl/>
      </w:pPr>
      <w:r w:rsidRPr="00DD4FB1">
        <w:rPr>
          <w:noProof/>
        </w:rPr>
        <w:drawing>
          <wp:inline distT="0" distB="0" distL="0" distR="0" wp14:anchorId="26125526" wp14:editId="28594F59">
            <wp:extent cx="6301105" cy="1940847"/>
            <wp:effectExtent l="0" t="0" r="4445" b="2540"/>
            <wp:docPr id="30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1940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D85" w:rsidRDefault="00D63D39" w:rsidP="002D76BA">
      <w:pPr>
        <w:widowControl/>
        <w:spacing w:beforeLines="30" w:before="108"/>
        <w:ind w:firstLineChars="200" w:firstLine="480"/>
        <w:jc w:val="both"/>
        <w:rPr>
          <w:rFonts w:ascii="標楷體" w:eastAsia="標楷體" w:hAnsi="標楷體"/>
        </w:rPr>
      </w:pPr>
      <w:r w:rsidRPr="003D4801">
        <w:rPr>
          <w:rFonts w:ascii="標楷體" w:eastAsia="標楷體" w:hAnsi="標楷體" w:hint="eastAsia"/>
        </w:rPr>
        <w:t>依據身心障礙者權益保障法規定，自</w:t>
      </w:r>
      <w:r w:rsidRPr="003D4801">
        <w:rPr>
          <w:rFonts w:ascii="標楷體" w:eastAsia="標楷體" w:hAnsi="標楷體"/>
        </w:rPr>
        <w:t>101</w:t>
      </w:r>
      <w:r w:rsidRPr="003D4801">
        <w:rPr>
          <w:rFonts w:ascii="標楷體" w:eastAsia="標楷體" w:hAnsi="標楷體" w:hint="eastAsia"/>
        </w:rPr>
        <w:t>年</w:t>
      </w:r>
      <w:r w:rsidRPr="003D4801">
        <w:rPr>
          <w:rFonts w:ascii="標楷體" w:eastAsia="標楷體" w:hAnsi="標楷體"/>
        </w:rPr>
        <w:t>7</w:t>
      </w:r>
      <w:r w:rsidRPr="003D4801">
        <w:rPr>
          <w:rFonts w:ascii="標楷體" w:eastAsia="標楷體" w:hAnsi="標楷體" w:hint="eastAsia"/>
        </w:rPr>
        <w:t>月起推行身心障礙鑑定及需求評估新制，身心障礙的分類由原</w:t>
      </w:r>
      <w:r w:rsidRPr="003D4801">
        <w:rPr>
          <w:rFonts w:ascii="標楷體" w:eastAsia="標楷體" w:hAnsi="標楷體"/>
        </w:rPr>
        <w:t>16</w:t>
      </w:r>
      <w:r w:rsidRPr="003D4801">
        <w:rPr>
          <w:rFonts w:ascii="標楷體" w:eastAsia="標楷體" w:hAnsi="標楷體" w:hint="eastAsia"/>
        </w:rPr>
        <w:t>類改為「國際健康功能與身心障礙分類系統</w:t>
      </w:r>
      <w:r w:rsidRPr="003D4801">
        <w:rPr>
          <w:rFonts w:ascii="標楷體" w:eastAsia="標楷體" w:hAnsi="標楷體"/>
        </w:rPr>
        <w:t>(</w:t>
      </w:r>
      <w:r w:rsidRPr="003D4801">
        <w:rPr>
          <w:rFonts w:ascii="標楷體" w:eastAsia="標楷體" w:hAnsi="標楷體" w:hint="eastAsia"/>
        </w:rPr>
        <w:t>簡稱</w:t>
      </w:r>
      <w:r w:rsidRPr="003D4801">
        <w:rPr>
          <w:rFonts w:ascii="標楷體" w:eastAsia="標楷體" w:hAnsi="標楷體"/>
        </w:rPr>
        <w:t>ICF)</w:t>
      </w:r>
      <w:r w:rsidRPr="003D4801">
        <w:rPr>
          <w:rFonts w:ascii="標楷體" w:eastAsia="標楷體" w:hAnsi="標楷體" w:hint="eastAsia"/>
        </w:rPr>
        <w:t>」之</w:t>
      </w:r>
      <w:r w:rsidRPr="003D4801">
        <w:rPr>
          <w:rFonts w:ascii="標楷體" w:eastAsia="標楷體" w:hAnsi="標楷體"/>
        </w:rPr>
        <w:t>8</w:t>
      </w:r>
      <w:r w:rsidRPr="003D4801">
        <w:rPr>
          <w:rFonts w:ascii="標楷體" w:eastAsia="標楷體" w:hAnsi="標楷體" w:hint="eastAsia"/>
        </w:rPr>
        <w:t>大分類。</w:t>
      </w:r>
    </w:p>
    <w:p w:rsidR="00E81834" w:rsidRPr="003D4801" w:rsidRDefault="00E81834" w:rsidP="002D76BA">
      <w:pPr>
        <w:widowControl/>
        <w:spacing w:beforeLines="30" w:before="108"/>
        <w:ind w:firstLineChars="200" w:firstLine="480"/>
        <w:jc w:val="both"/>
        <w:rPr>
          <w:rFonts w:ascii="標楷體" w:eastAsia="標楷體" w:hAnsi="標楷體"/>
        </w:rPr>
      </w:pPr>
      <w:r w:rsidRPr="003D4801">
        <w:rPr>
          <w:rFonts w:eastAsia="標楷體" w:hint="eastAsia"/>
        </w:rPr>
        <w:t>截至</w:t>
      </w:r>
      <w:r w:rsidRPr="003D4801">
        <w:rPr>
          <w:rFonts w:eastAsia="標楷體"/>
        </w:rPr>
        <w:t>101</w:t>
      </w:r>
      <w:r w:rsidRPr="003D4801">
        <w:rPr>
          <w:rFonts w:eastAsia="標楷體" w:hint="eastAsia"/>
        </w:rPr>
        <w:t>年底身心障礙者共計</w:t>
      </w:r>
      <w:r w:rsidRPr="003D4801">
        <w:rPr>
          <w:rFonts w:eastAsia="標楷體"/>
        </w:rPr>
        <w:t>111</w:t>
      </w:r>
      <w:r w:rsidRPr="003D4801">
        <w:rPr>
          <w:rFonts w:eastAsia="標楷體" w:hint="eastAsia"/>
        </w:rPr>
        <w:t>萬</w:t>
      </w:r>
      <w:r w:rsidRPr="003D4801">
        <w:rPr>
          <w:rFonts w:eastAsia="標楷體"/>
        </w:rPr>
        <w:t>7,518</w:t>
      </w:r>
      <w:r w:rsidRPr="003D4801">
        <w:rPr>
          <w:rFonts w:eastAsia="標楷體" w:hint="eastAsia"/>
        </w:rPr>
        <w:t>人，以「肢體障礙者」占</w:t>
      </w:r>
      <w:r w:rsidRPr="003D4801">
        <w:rPr>
          <w:rFonts w:eastAsia="標楷體"/>
        </w:rPr>
        <w:t>34.1%</w:t>
      </w:r>
      <w:r w:rsidRPr="003D4801">
        <w:rPr>
          <w:rFonts w:eastAsia="標楷體" w:hint="eastAsia"/>
        </w:rPr>
        <w:t>最多，「重要器官失去功能者」占</w:t>
      </w:r>
      <w:r w:rsidRPr="003D4801">
        <w:rPr>
          <w:rFonts w:eastAsia="標楷體"/>
        </w:rPr>
        <w:t>11.</w:t>
      </w:r>
      <w:r w:rsidR="00CD7C94">
        <w:rPr>
          <w:rFonts w:eastAsia="標楷體" w:hint="eastAsia"/>
        </w:rPr>
        <w:t>8</w:t>
      </w:r>
      <w:r w:rsidRPr="003D4801">
        <w:rPr>
          <w:rFonts w:eastAsia="標楷體"/>
        </w:rPr>
        <w:t>%</w:t>
      </w:r>
      <w:r w:rsidRPr="003D4801">
        <w:rPr>
          <w:rFonts w:eastAsia="標楷體" w:hint="eastAsia"/>
        </w:rPr>
        <w:t>次之。</w:t>
      </w:r>
    </w:p>
    <w:p w:rsidR="00E81834" w:rsidRPr="003D4801" w:rsidRDefault="00E81834" w:rsidP="002D76BA">
      <w:pPr>
        <w:widowControl/>
        <w:spacing w:beforeLines="30" w:before="108"/>
        <w:ind w:firstLineChars="200" w:firstLine="480"/>
        <w:jc w:val="both"/>
        <w:rPr>
          <w:rFonts w:eastAsia="標楷體"/>
        </w:rPr>
      </w:pPr>
      <w:r w:rsidRPr="003D4801">
        <w:rPr>
          <w:rFonts w:eastAsia="標楷體" w:hint="eastAsia"/>
        </w:rPr>
        <w:t>截至</w:t>
      </w:r>
      <w:r w:rsidRPr="003D4801">
        <w:rPr>
          <w:rFonts w:eastAsia="標楷體"/>
        </w:rPr>
        <w:t>101</w:t>
      </w:r>
      <w:r w:rsidRPr="003D4801">
        <w:rPr>
          <w:rFonts w:eastAsia="標楷體" w:hint="eastAsia"/>
        </w:rPr>
        <w:t>年底，身心障礙福利機構共計</w:t>
      </w:r>
      <w:r w:rsidRPr="003D4801">
        <w:rPr>
          <w:rFonts w:eastAsia="標楷體"/>
        </w:rPr>
        <w:t>271</w:t>
      </w:r>
      <w:r w:rsidRPr="003D4801">
        <w:rPr>
          <w:rFonts w:eastAsia="標楷體" w:hint="eastAsia"/>
        </w:rPr>
        <w:t>所，以「全日型住宿」占</w:t>
      </w:r>
      <w:r w:rsidR="00FD40DA">
        <w:rPr>
          <w:rFonts w:eastAsia="標楷體"/>
        </w:rPr>
        <w:t>58.</w:t>
      </w:r>
      <w:r w:rsidRPr="003D4801">
        <w:rPr>
          <w:rFonts w:eastAsia="標楷體"/>
        </w:rPr>
        <w:t>7%</w:t>
      </w:r>
      <w:r w:rsidRPr="003D4801">
        <w:rPr>
          <w:rFonts w:eastAsia="標楷體" w:hint="eastAsia"/>
        </w:rPr>
        <w:t>為最高，</w:t>
      </w:r>
      <w:r w:rsidRPr="003D4801">
        <w:rPr>
          <w:rFonts w:eastAsia="標楷體"/>
        </w:rPr>
        <w:t>101</w:t>
      </w:r>
      <w:r w:rsidRPr="003D4801">
        <w:rPr>
          <w:rFonts w:eastAsia="標楷體" w:hint="eastAsia"/>
        </w:rPr>
        <w:t>年底實際安置人數為</w:t>
      </w:r>
      <w:r w:rsidRPr="003D4801">
        <w:rPr>
          <w:rFonts w:eastAsia="標楷體"/>
        </w:rPr>
        <w:t>1</w:t>
      </w:r>
      <w:r w:rsidRPr="003D4801">
        <w:rPr>
          <w:rFonts w:eastAsia="標楷體" w:hint="eastAsia"/>
        </w:rPr>
        <w:t>萬</w:t>
      </w:r>
      <w:r w:rsidRPr="003D4801">
        <w:rPr>
          <w:rFonts w:eastAsia="標楷體"/>
        </w:rPr>
        <w:t>9,092</w:t>
      </w:r>
      <w:r w:rsidRPr="003D4801">
        <w:rPr>
          <w:rFonts w:eastAsia="標楷體" w:hint="eastAsia"/>
        </w:rPr>
        <w:t>人，使用率達</w:t>
      </w:r>
      <w:r w:rsidRPr="003D4801">
        <w:rPr>
          <w:rFonts w:eastAsia="標楷體"/>
        </w:rPr>
        <w:t>80.</w:t>
      </w:r>
      <w:r w:rsidR="00FD40DA">
        <w:rPr>
          <w:rFonts w:eastAsia="標楷體" w:hint="eastAsia"/>
        </w:rPr>
        <w:t>4</w:t>
      </w:r>
      <w:r w:rsidRPr="003D4801">
        <w:rPr>
          <w:rFonts w:ascii="標楷體" w:eastAsia="標楷體" w:hAnsi="標楷體"/>
        </w:rPr>
        <w:t>%</w:t>
      </w:r>
      <w:r w:rsidRPr="003D4801">
        <w:rPr>
          <w:rFonts w:ascii="標楷體" w:eastAsia="標楷體" w:hAnsi="標楷體" w:hint="eastAsia"/>
        </w:rPr>
        <w:t>。</w:t>
      </w:r>
    </w:p>
    <w:p w:rsidR="00E81834" w:rsidRPr="003D4801" w:rsidRDefault="00E81834" w:rsidP="002D76BA">
      <w:pPr>
        <w:widowControl/>
        <w:spacing w:beforeLines="30" w:before="108"/>
        <w:ind w:firstLineChars="200" w:firstLine="480"/>
        <w:jc w:val="both"/>
        <w:rPr>
          <w:rFonts w:eastAsia="標楷體"/>
        </w:rPr>
      </w:pPr>
      <w:r w:rsidRPr="003D4801">
        <w:rPr>
          <w:rFonts w:eastAsia="標楷體" w:hint="eastAsia"/>
        </w:rPr>
        <w:t>為保障身心障礙者經濟生活安全，依障礙等級及身分別每月</w:t>
      </w:r>
      <w:r w:rsidR="00EE114D" w:rsidRPr="003D4801">
        <w:rPr>
          <w:rFonts w:eastAsia="標楷體" w:hint="eastAsia"/>
        </w:rPr>
        <w:t>予以</w:t>
      </w:r>
      <w:r w:rsidRPr="003D4801">
        <w:rPr>
          <w:rFonts w:eastAsia="標楷體" w:hint="eastAsia"/>
        </w:rPr>
        <w:t>不等之生活費用補助，</w:t>
      </w:r>
      <w:r w:rsidRPr="003D4801">
        <w:rPr>
          <w:rFonts w:eastAsia="標楷體"/>
        </w:rPr>
        <w:t>101</w:t>
      </w:r>
      <w:r w:rsidRPr="003D4801">
        <w:rPr>
          <w:rFonts w:eastAsia="標楷體" w:hint="eastAsia"/>
        </w:rPr>
        <w:t>年</w:t>
      </w:r>
      <w:r w:rsidR="00EE114D">
        <w:rPr>
          <w:rFonts w:eastAsia="標楷體" w:hint="eastAsia"/>
        </w:rPr>
        <w:t>計</w:t>
      </w:r>
      <w:r w:rsidRPr="003D4801">
        <w:rPr>
          <w:rFonts w:eastAsia="標楷體" w:hint="eastAsia"/>
        </w:rPr>
        <w:t>補助</w:t>
      </w:r>
      <w:r w:rsidRPr="003D4801">
        <w:rPr>
          <w:rFonts w:eastAsia="標楷體"/>
        </w:rPr>
        <w:t>417</w:t>
      </w:r>
      <w:r w:rsidRPr="003D4801">
        <w:rPr>
          <w:rFonts w:eastAsia="標楷體" w:hint="eastAsia"/>
        </w:rPr>
        <w:t>萬</w:t>
      </w:r>
      <w:r w:rsidRPr="003D4801">
        <w:rPr>
          <w:rFonts w:eastAsia="標楷體"/>
        </w:rPr>
        <w:t>6,404</w:t>
      </w:r>
      <w:r w:rsidRPr="003D4801">
        <w:rPr>
          <w:rFonts w:eastAsia="標楷體" w:hint="eastAsia"/>
        </w:rPr>
        <w:t>人次及</w:t>
      </w:r>
      <w:r w:rsidRPr="003D4801">
        <w:rPr>
          <w:rFonts w:eastAsia="標楷體"/>
        </w:rPr>
        <w:t>201</w:t>
      </w:r>
      <w:r w:rsidRPr="003D4801">
        <w:rPr>
          <w:rFonts w:eastAsia="標楷體" w:hint="eastAsia"/>
        </w:rPr>
        <w:t>億</w:t>
      </w:r>
      <w:r w:rsidRPr="003D4801">
        <w:rPr>
          <w:rFonts w:eastAsia="標楷體"/>
        </w:rPr>
        <w:t>6,490</w:t>
      </w:r>
      <w:r w:rsidRPr="003D4801">
        <w:rPr>
          <w:rFonts w:eastAsia="標楷體" w:hint="eastAsia"/>
        </w:rPr>
        <w:t>萬元，分別較</w:t>
      </w:r>
      <w:r w:rsidR="007E2D8F">
        <w:rPr>
          <w:rFonts w:eastAsia="標楷體" w:hint="eastAsia"/>
        </w:rPr>
        <w:t>100</w:t>
      </w:r>
      <w:r w:rsidRPr="003D4801">
        <w:rPr>
          <w:rFonts w:eastAsia="標楷體" w:hint="eastAsia"/>
        </w:rPr>
        <w:t>年增加</w:t>
      </w:r>
      <w:r w:rsidRPr="003D4801">
        <w:rPr>
          <w:rFonts w:eastAsia="標楷體"/>
        </w:rPr>
        <w:t>1.</w:t>
      </w:r>
      <w:r w:rsidR="00FD40DA">
        <w:rPr>
          <w:rFonts w:eastAsia="標楷體" w:hint="eastAsia"/>
        </w:rPr>
        <w:t>1</w:t>
      </w:r>
      <w:r w:rsidRPr="003D4801">
        <w:rPr>
          <w:rFonts w:eastAsia="標楷體"/>
        </w:rPr>
        <w:t>%</w:t>
      </w:r>
      <w:r w:rsidRPr="003D4801">
        <w:rPr>
          <w:rFonts w:eastAsia="標楷體" w:hint="eastAsia"/>
        </w:rPr>
        <w:t>及</w:t>
      </w:r>
      <w:r w:rsidR="00FD40DA">
        <w:rPr>
          <w:rFonts w:eastAsia="標楷體" w:hint="eastAsia"/>
        </w:rPr>
        <w:t>20</w:t>
      </w:r>
      <w:r w:rsidRPr="003D4801">
        <w:rPr>
          <w:rFonts w:eastAsia="標楷體"/>
        </w:rPr>
        <w:t>.</w:t>
      </w:r>
      <w:r w:rsidR="00FD40DA">
        <w:rPr>
          <w:rFonts w:eastAsia="標楷體" w:hint="eastAsia"/>
        </w:rPr>
        <w:t>0</w:t>
      </w:r>
      <w:r w:rsidRPr="003D4801">
        <w:rPr>
          <w:rFonts w:eastAsia="標楷體"/>
        </w:rPr>
        <w:t>%</w:t>
      </w:r>
      <w:r w:rsidRPr="003D4801">
        <w:rPr>
          <w:rFonts w:eastAsia="標楷體" w:hint="eastAsia"/>
        </w:rPr>
        <w:t>。</w:t>
      </w:r>
      <w:bookmarkStart w:id="12" w:name="_Toc305657222"/>
    </w:p>
    <w:p w:rsidR="00E81834" w:rsidRPr="003D4801" w:rsidRDefault="00E81834" w:rsidP="002D76BA">
      <w:pPr>
        <w:widowControl/>
        <w:spacing w:beforeLines="30" w:before="108"/>
        <w:ind w:firstLineChars="200" w:firstLine="480"/>
        <w:jc w:val="both"/>
        <w:rPr>
          <w:rFonts w:eastAsia="標楷體"/>
        </w:rPr>
      </w:pPr>
      <w:r w:rsidRPr="003D4801">
        <w:rPr>
          <w:rFonts w:eastAsia="標楷體" w:hint="eastAsia"/>
        </w:rPr>
        <w:t>為協助身心障礙者克服障礙，提高生活自理能力，促進社會參與，政府依其家庭經濟狀況予以全額</w:t>
      </w:r>
      <w:r w:rsidRPr="003D4801">
        <w:rPr>
          <w:rFonts w:eastAsia="標楷體"/>
        </w:rPr>
        <w:t>~50%</w:t>
      </w:r>
      <w:r w:rsidRPr="003D4801">
        <w:rPr>
          <w:rFonts w:eastAsia="標楷體" w:hint="eastAsia"/>
        </w:rPr>
        <w:t>不同</w:t>
      </w:r>
      <w:r w:rsidR="0076781B" w:rsidRPr="003D4801">
        <w:rPr>
          <w:rFonts w:eastAsia="標楷體" w:hint="eastAsia"/>
        </w:rPr>
        <w:t>輔助器具</w:t>
      </w:r>
      <w:r w:rsidRPr="003D4801">
        <w:rPr>
          <w:rFonts w:eastAsia="標楷體" w:hint="eastAsia"/>
        </w:rPr>
        <w:t>補助，</w:t>
      </w:r>
      <w:r w:rsidRPr="003D4801">
        <w:rPr>
          <w:rFonts w:eastAsia="標楷體"/>
        </w:rPr>
        <w:t>101</w:t>
      </w:r>
      <w:r w:rsidRPr="003D4801">
        <w:rPr>
          <w:rFonts w:eastAsia="標楷體" w:hint="eastAsia"/>
        </w:rPr>
        <w:t>年</w:t>
      </w:r>
      <w:r w:rsidR="00EE114D">
        <w:rPr>
          <w:rFonts w:eastAsia="標楷體" w:hint="eastAsia"/>
        </w:rPr>
        <w:t>計</w:t>
      </w:r>
      <w:r w:rsidRPr="003D4801">
        <w:rPr>
          <w:rFonts w:eastAsia="標楷體" w:hint="eastAsia"/>
        </w:rPr>
        <w:t>補助</w:t>
      </w:r>
      <w:r w:rsidRPr="003D4801">
        <w:rPr>
          <w:rFonts w:eastAsia="標楷體"/>
        </w:rPr>
        <w:t>7</w:t>
      </w:r>
      <w:r w:rsidRPr="003D4801">
        <w:rPr>
          <w:rFonts w:eastAsia="標楷體" w:hint="eastAsia"/>
        </w:rPr>
        <w:t>萬</w:t>
      </w:r>
      <w:r w:rsidRPr="003D4801">
        <w:rPr>
          <w:rFonts w:eastAsia="標楷體"/>
        </w:rPr>
        <w:t>7,422</w:t>
      </w:r>
      <w:r w:rsidRPr="003D4801">
        <w:rPr>
          <w:rFonts w:eastAsia="標楷體" w:hint="eastAsia"/>
        </w:rPr>
        <w:t>人及</w:t>
      </w:r>
      <w:r w:rsidRPr="003D4801">
        <w:rPr>
          <w:rFonts w:eastAsia="標楷體"/>
        </w:rPr>
        <w:t>7</w:t>
      </w:r>
      <w:r w:rsidRPr="003D4801">
        <w:rPr>
          <w:rFonts w:eastAsia="標楷體" w:hint="eastAsia"/>
        </w:rPr>
        <w:t>億</w:t>
      </w:r>
      <w:r w:rsidRPr="003D4801">
        <w:rPr>
          <w:rFonts w:eastAsia="標楷體"/>
        </w:rPr>
        <w:t>2,882</w:t>
      </w:r>
      <w:r w:rsidRPr="003D4801">
        <w:rPr>
          <w:rFonts w:eastAsia="標楷體" w:hint="eastAsia"/>
        </w:rPr>
        <w:t>萬元，分別較</w:t>
      </w:r>
      <w:r w:rsidR="00EA2360">
        <w:rPr>
          <w:rFonts w:eastAsia="標楷體" w:hint="eastAsia"/>
        </w:rPr>
        <w:t>100</w:t>
      </w:r>
      <w:r w:rsidRPr="003D4801">
        <w:rPr>
          <w:rFonts w:eastAsia="標楷體" w:hint="eastAsia"/>
        </w:rPr>
        <w:t>年增加</w:t>
      </w:r>
      <w:r w:rsidRPr="003D4801">
        <w:rPr>
          <w:rFonts w:eastAsia="標楷體"/>
        </w:rPr>
        <w:t>1.</w:t>
      </w:r>
      <w:r w:rsidR="00FD40DA">
        <w:rPr>
          <w:rFonts w:eastAsia="標楷體" w:hint="eastAsia"/>
        </w:rPr>
        <w:t>5</w:t>
      </w:r>
      <w:r w:rsidRPr="003D4801">
        <w:rPr>
          <w:rFonts w:eastAsia="標楷體"/>
        </w:rPr>
        <w:t>%</w:t>
      </w:r>
      <w:r w:rsidRPr="003D4801">
        <w:rPr>
          <w:rFonts w:eastAsia="標楷體" w:hint="eastAsia"/>
        </w:rPr>
        <w:t>及</w:t>
      </w:r>
      <w:r w:rsidR="00FD40DA">
        <w:rPr>
          <w:rFonts w:eastAsia="標楷體" w:hint="eastAsia"/>
        </w:rPr>
        <w:t>1.</w:t>
      </w:r>
      <w:r w:rsidRPr="003D4801">
        <w:rPr>
          <w:rFonts w:eastAsia="標楷體"/>
        </w:rPr>
        <w:t>0%</w:t>
      </w:r>
      <w:r w:rsidRPr="003D4801">
        <w:rPr>
          <w:rFonts w:eastAsia="標楷體" w:hint="eastAsia"/>
        </w:rPr>
        <w:t>。</w:t>
      </w:r>
    </w:p>
    <w:p w:rsidR="00E81834" w:rsidRPr="003D4801" w:rsidRDefault="00EE114D" w:rsidP="002D76BA">
      <w:pPr>
        <w:widowControl/>
        <w:spacing w:beforeLines="30" w:before="108"/>
        <w:ind w:firstLineChars="200" w:firstLine="480"/>
        <w:jc w:val="both"/>
        <w:rPr>
          <w:rFonts w:eastAsia="標楷體"/>
        </w:rPr>
      </w:pPr>
      <w:r w:rsidRPr="003D4801">
        <w:rPr>
          <w:rFonts w:eastAsia="標楷體"/>
        </w:rPr>
        <w:t>101</w:t>
      </w:r>
      <w:r w:rsidRPr="003D4801">
        <w:rPr>
          <w:rFonts w:eastAsia="標楷體" w:hint="eastAsia"/>
        </w:rPr>
        <w:t>年</w:t>
      </w:r>
      <w:r w:rsidR="00E81834" w:rsidRPr="003D4801">
        <w:rPr>
          <w:rFonts w:eastAsia="標楷體" w:hint="eastAsia"/>
        </w:rPr>
        <w:t>安置身心障礙福利機構接受服務者</w:t>
      </w:r>
      <w:r>
        <w:rPr>
          <w:rFonts w:eastAsia="標楷體" w:hint="eastAsia"/>
        </w:rPr>
        <w:t>而獲</w:t>
      </w:r>
      <w:r w:rsidR="00E81834" w:rsidRPr="003D4801">
        <w:rPr>
          <w:rFonts w:eastAsia="標楷體" w:hint="eastAsia"/>
        </w:rPr>
        <w:t>托育養護補助</w:t>
      </w:r>
      <w:r>
        <w:rPr>
          <w:rFonts w:eastAsia="標楷體" w:hint="eastAsia"/>
        </w:rPr>
        <w:t>者計</w:t>
      </w:r>
      <w:r w:rsidR="00E81834" w:rsidRPr="003D4801">
        <w:rPr>
          <w:rFonts w:eastAsia="標楷體"/>
        </w:rPr>
        <w:t>3</w:t>
      </w:r>
      <w:r w:rsidR="00E81834" w:rsidRPr="003D4801">
        <w:rPr>
          <w:rFonts w:eastAsia="標楷體" w:hint="eastAsia"/>
        </w:rPr>
        <w:t>萬</w:t>
      </w:r>
      <w:r w:rsidR="00E81834" w:rsidRPr="003D4801">
        <w:rPr>
          <w:rFonts w:eastAsia="標楷體"/>
        </w:rPr>
        <w:t>3,779</w:t>
      </w:r>
      <w:r w:rsidR="00E81834" w:rsidRPr="003D4801">
        <w:rPr>
          <w:rFonts w:eastAsia="標楷體" w:hint="eastAsia"/>
        </w:rPr>
        <w:t>人</w:t>
      </w:r>
      <w:r>
        <w:rPr>
          <w:rFonts w:eastAsia="標楷體" w:hint="eastAsia"/>
        </w:rPr>
        <w:t>補助金額</w:t>
      </w:r>
      <w:r w:rsidR="00E81834" w:rsidRPr="003D4801">
        <w:rPr>
          <w:rFonts w:eastAsia="標楷體"/>
        </w:rPr>
        <w:t>61</w:t>
      </w:r>
      <w:r>
        <w:rPr>
          <w:rFonts w:eastAsia="標楷體" w:hint="eastAsia"/>
        </w:rPr>
        <w:t>.3</w:t>
      </w:r>
      <w:r w:rsidR="00E81834" w:rsidRPr="003D4801">
        <w:rPr>
          <w:rFonts w:eastAsia="標楷體" w:hint="eastAsia"/>
        </w:rPr>
        <w:t>億元，分別較</w:t>
      </w:r>
      <w:r w:rsidR="00EA2360">
        <w:rPr>
          <w:rFonts w:eastAsia="標楷體" w:hint="eastAsia"/>
        </w:rPr>
        <w:t>100</w:t>
      </w:r>
      <w:r w:rsidR="00E81834" w:rsidRPr="003D4801">
        <w:rPr>
          <w:rFonts w:eastAsia="標楷體" w:hint="eastAsia"/>
        </w:rPr>
        <w:t>年增加</w:t>
      </w:r>
      <w:r w:rsidR="00E81834" w:rsidRPr="003D4801">
        <w:rPr>
          <w:rFonts w:eastAsia="標楷體"/>
        </w:rPr>
        <w:t>3.6%</w:t>
      </w:r>
      <w:r w:rsidR="00E81834" w:rsidRPr="003D4801">
        <w:rPr>
          <w:rFonts w:eastAsia="標楷體" w:hint="eastAsia"/>
        </w:rPr>
        <w:t>及</w:t>
      </w:r>
      <w:r w:rsidR="00E81834" w:rsidRPr="003D4801">
        <w:rPr>
          <w:rFonts w:eastAsia="標楷體"/>
        </w:rPr>
        <w:t>8.</w:t>
      </w:r>
      <w:r w:rsidR="00FD40DA">
        <w:rPr>
          <w:rFonts w:eastAsia="標楷體" w:hint="eastAsia"/>
        </w:rPr>
        <w:t>5</w:t>
      </w:r>
      <w:r w:rsidR="00E81834" w:rsidRPr="003D4801">
        <w:rPr>
          <w:rFonts w:eastAsia="標楷體"/>
        </w:rPr>
        <w:t>%</w:t>
      </w:r>
      <w:r w:rsidR="00E81834" w:rsidRPr="003D4801">
        <w:rPr>
          <w:rFonts w:eastAsia="標楷體" w:hint="eastAsia"/>
        </w:rPr>
        <w:t>。</w:t>
      </w:r>
    </w:p>
    <w:p w:rsidR="00E81834" w:rsidRPr="00B74030" w:rsidRDefault="00E81834" w:rsidP="0038271A">
      <w:pPr>
        <w:pStyle w:val="22"/>
      </w:pPr>
      <w:bookmarkStart w:id="13" w:name="_Toc378767214"/>
      <w:bookmarkStart w:id="14" w:name="_GoBack"/>
      <w:bookmarkEnd w:id="14"/>
      <w:r>
        <w:rPr>
          <w:rFonts w:hint="eastAsia"/>
        </w:rPr>
        <w:lastRenderedPageBreak/>
        <w:t>三</w:t>
      </w:r>
      <w:r w:rsidRPr="00B74030">
        <w:rPr>
          <w:rFonts w:hint="eastAsia"/>
        </w:rPr>
        <w:t>、</w:t>
      </w:r>
      <w:bookmarkEnd w:id="12"/>
      <w:r>
        <w:rPr>
          <w:rFonts w:hint="eastAsia"/>
        </w:rPr>
        <w:t>社會保護</w:t>
      </w:r>
      <w:bookmarkEnd w:id="13"/>
    </w:p>
    <w:p w:rsidR="00E81834" w:rsidRDefault="00E81834" w:rsidP="009E519C">
      <w:pPr>
        <w:pStyle w:val="2"/>
        <w:snapToGrid w:val="0"/>
        <w:spacing w:line="240" w:lineRule="auto"/>
        <w:ind w:firstLine="284"/>
        <w:rPr>
          <w:rFonts w:ascii="Times New Roman" w:eastAsia="標楷體" w:hAnsi="Times New Roman"/>
          <w:sz w:val="28"/>
          <w:lang w:val="x-none"/>
        </w:rPr>
      </w:pPr>
      <w:bookmarkStart w:id="15" w:name="_Toc378767215"/>
      <w:bookmarkStart w:id="16" w:name="_Toc305657223"/>
      <w:r w:rsidRPr="004C7A0F">
        <w:rPr>
          <w:rFonts w:ascii="Times New Roman" w:eastAsia="標楷體" w:hAnsi="Times New Roman"/>
          <w:sz w:val="28"/>
        </w:rPr>
        <w:t>(</w:t>
      </w:r>
      <w:r w:rsidRPr="004C7A0F">
        <w:rPr>
          <w:rFonts w:ascii="Times New Roman" w:eastAsia="標楷體" w:hAnsi="Times New Roman" w:hint="eastAsia"/>
          <w:sz w:val="28"/>
        </w:rPr>
        <w:t>一</w:t>
      </w:r>
      <w:r w:rsidRPr="004C7A0F">
        <w:rPr>
          <w:rFonts w:ascii="Times New Roman" w:eastAsia="標楷體" w:hAnsi="Times New Roman"/>
          <w:sz w:val="28"/>
        </w:rPr>
        <w:t xml:space="preserve">) </w:t>
      </w:r>
      <w:r w:rsidRPr="009E519C">
        <w:rPr>
          <w:rFonts w:ascii="Times New Roman" w:eastAsia="標楷體" w:hAnsi="Times New Roman" w:hint="eastAsia"/>
          <w:sz w:val="28"/>
          <w:lang w:val="x-none"/>
        </w:rPr>
        <w:t>兒童及少年保護執行</w:t>
      </w:r>
      <w:bookmarkEnd w:id="15"/>
    </w:p>
    <w:p w:rsidR="00E81834" w:rsidRPr="006C02B3" w:rsidRDefault="00E81834" w:rsidP="00B51259">
      <w:pPr>
        <w:ind w:leftChars="354" w:left="850"/>
        <w:rPr>
          <w:rFonts w:eastAsia="標楷體"/>
          <w:b/>
        </w:rPr>
      </w:pPr>
      <w:r w:rsidRPr="006C02B3">
        <w:rPr>
          <w:rFonts w:eastAsia="標楷體" w:hint="eastAsia"/>
          <w:b/>
        </w:rPr>
        <w:t>平均每萬人兒童及少年受虐人數以花蓮縣及臺東縣</w:t>
      </w:r>
      <w:r w:rsidR="00CD7C94">
        <w:rPr>
          <w:rFonts w:eastAsia="標楷體" w:hint="eastAsia"/>
          <w:b/>
        </w:rPr>
        <w:t>超過百人</w:t>
      </w:r>
    </w:p>
    <w:p w:rsidR="00E81834" w:rsidRPr="00C25514" w:rsidRDefault="00E81834" w:rsidP="0028455F">
      <w:pPr>
        <w:widowControl/>
        <w:jc w:val="center"/>
        <w:rPr>
          <w:rFonts w:ascii="標楷體" w:eastAsia="標楷體" w:hAnsi="標楷體"/>
          <w:sz w:val="28"/>
          <w:szCs w:val="28"/>
        </w:rPr>
      </w:pPr>
      <w:r w:rsidRPr="00C25514">
        <w:rPr>
          <w:rFonts w:ascii="標楷體" w:eastAsia="標楷體" w:hAnsi="標楷體"/>
          <w:sz w:val="28"/>
          <w:szCs w:val="28"/>
        </w:rPr>
        <w:t>101</w:t>
      </w:r>
      <w:r w:rsidRPr="00C25514">
        <w:rPr>
          <w:rFonts w:ascii="標楷體" w:eastAsia="標楷體" w:hAnsi="標楷體" w:hint="eastAsia"/>
          <w:sz w:val="28"/>
          <w:szCs w:val="28"/>
        </w:rPr>
        <w:t>年各</w:t>
      </w:r>
      <w:r>
        <w:rPr>
          <w:rFonts w:ascii="標楷體" w:eastAsia="標楷體" w:hAnsi="標楷體" w:hint="eastAsia"/>
          <w:sz w:val="28"/>
          <w:szCs w:val="28"/>
        </w:rPr>
        <w:t>地區</w:t>
      </w:r>
      <w:r w:rsidRPr="00C25514">
        <w:rPr>
          <w:rFonts w:ascii="標楷體" w:eastAsia="標楷體" w:hAnsi="標楷體" w:hint="eastAsia"/>
          <w:sz w:val="28"/>
          <w:szCs w:val="28"/>
        </w:rPr>
        <w:t>每萬名兒童及少年受虐人數</w:t>
      </w:r>
    </w:p>
    <w:p w:rsidR="00E81834" w:rsidRDefault="008F0D50" w:rsidP="0028455F">
      <w:pPr>
        <w:widowControl/>
        <w:jc w:val="center"/>
      </w:pPr>
      <w:r>
        <w:rPr>
          <w:noProof/>
        </w:rPr>
        <w:drawing>
          <wp:inline distT="0" distB="0" distL="0" distR="0" wp14:anchorId="0545DA2F" wp14:editId="63CFF02C">
            <wp:extent cx="3152775" cy="3638550"/>
            <wp:effectExtent l="0" t="0" r="9525" b="0"/>
            <wp:docPr id="128" name="圖片 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0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834" w:rsidRPr="00F96F06" w:rsidRDefault="00E81834" w:rsidP="0028455F">
      <w:pPr>
        <w:widowControl/>
        <w:jc w:val="center"/>
        <w:rPr>
          <w:rFonts w:ascii="標楷體" w:eastAsia="標楷體" w:hAnsi="標楷體"/>
          <w:sz w:val="28"/>
          <w:szCs w:val="28"/>
        </w:rPr>
      </w:pPr>
      <w:r w:rsidRPr="00F96F06">
        <w:rPr>
          <w:rFonts w:ascii="標楷體" w:eastAsia="標楷體" w:hAnsi="標楷體" w:hint="eastAsia"/>
          <w:sz w:val="28"/>
          <w:szCs w:val="28"/>
        </w:rPr>
        <w:t>歷年兒童及少年保護執行概況</w:t>
      </w:r>
      <w:r w:rsidRPr="00F96F06">
        <w:rPr>
          <w:rFonts w:ascii="標楷體" w:eastAsia="標楷體" w:hAnsi="標楷體"/>
          <w:sz w:val="28"/>
          <w:szCs w:val="28"/>
        </w:rPr>
        <w:t>-</w:t>
      </w:r>
      <w:r w:rsidRPr="00F96F06">
        <w:rPr>
          <w:rFonts w:ascii="標楷體" w:eastAsia="標楷體" w:hAnsi="標楷體" w:hint="eastAsia"/>
          <w:sz w:val="28"/>
          <w:szCs w:val="28"/>
        </w:rPr>
        <w:t>按受虐者、施虐者及保護處理安置分</w:t>
      </w:r>
    </w:p>
    <w:p w:rsidR="00E81834" w:rsidRPr="00C165C1" w:rsidRDefault="00CD7C94" w:rsidP="00D47330">
      <w:pPr>
        <w:widowControl/>
        <w:snapToGrid w:val="0"/>
        <w:jc w:val="center"/>
      </w:pPr>
      <w:r w:rsidRPr="00CD7C94">
        <w:rPr>
          <w:noProof/>
        </w:rPr>
        <w:drawing>
          <wp:inline distT="0" distB="0" distL="0" distR="0" wp14:anchorId="3B3DC38B" wp14:editId="4B837321">
            <wp:extent cx="6301105" cy="2299735"/>
            <wp:effectExtent l="0" t="0" r="4445" b="5715"/>
            <wp:docPr id="269" name="圖片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229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834" w:rsidRPr="00ED787C" w:rsidRDefault="00E81834" w:rsidP="00B51259">
      <w:pPr>
        <w:widowControl/>
        <w:ind w:firstLineChars="200" w:firstLine="480"/>
        <w:jc w:val="both"/>
        <w:rPr>
          <w:rFonts w:eastAsia="標楷體"/>
        </w:rPr>
      </w:pPr>
      <w:r w:rsidRPr="00ED787C">
        <w:rPr>
          <w:rFonts w:eastAsia="標楷體"/>
        </w:rPr>
        <w:t>101</w:t>
      </w:r>
      <w:r w:rsidRPr="00ED787C">
        <w:rPr>
          <w:rFonts w:eastAsia="標楷體" w:hint="eastAsia"/>
        </w:rPr>
        <w:t>年受虐兒童及少年人數計</w:t>
      </w:r>
      <w:r w:rsidRPr="00ED787C">
        <w:rPr>
          <w:rFonts w:eastAsia="標楷體"/>
        </w:rPr>
        <w:t>1</w:t>
      </w:r>
      <w:r w:rsidRPr="00ED787C">
        <w:rPr>
          <w:rFonts w:eastAsia="標楷體" w:hint="eastAsia"/>
        </w:rPr>
        <w:t>萬</w:t>
      </w:r>
      <w:r w:rsidRPr="00ED787C">
        <w:rPr>
          <w:rFonts w:eastAsia="標楷體"/>
        </w:rPr>
        <w:t>9,174</w:t>
      </w:r>
      <w:r w:rsidRPr="00ED787C">
        <w:rPr>
          <w:rFonts w:eastAsia="標楷體" w:hint="eastAsia"/>
        </w:rPr>
        <w:t>人，</w:t>
      </w:r>
      <w:r w:rsidR="006C02B3">
        <w:rPr>
          <w:rFonts w:eastAsia="標楷體" w:hint="eastAsia"/>
        </w:rPr>
        <w:t>較</w:t>
      </w:r>
      <w:r w:rsidR="006C02B3">
        <w:rPr>
          <w:rFonts w:eastAsia="標楷體"/>
        </w:rPr>
        <w:t>100</w:t>
      </w:r>
      <w:r w:rsidR="006C02B3">
        <w:rPr>
          <w:rFonts w:eastAsia="標楷體" w:hint="eastAsia"/>
        </w:rPr>
        <w:t>年增加</w:t>
      </w:r>
      <w:r w:rsidR="006C02B3">
        <w:rPr>
          <w:rFonts w:eastAsia="標楷體"/>
        </w:rPr>
        <w:t>8.5%</w:t>
      </w:r>
      <w:r w:rsidR="006C02B3">
        <w:rPr>
          <w:rFonts w:eastAsia="標楷體" w:hint="eastAsia"/>
        </w:rPr>
        <w:t>，</w:t>
      </w:r>
      <w:r w:rsidRPr="00ED787C">
        <w:rPr>
          <w:rFonts w:eastAsia="標楷體" w:hint="eastAsia"/>
        </w:rPr>
        <w:t>包含兒童</w:t>
      </w:r>
      <w:r w:rsidRPr="00ED787C">
        <w:rPr>
          <w:rFonts w:eastAsia="標楷體"/>
        </w:rPr>
        <w:t>1</w:t>
      </w:r>
      <w:r w:rsidRPr="00ED787C">
        <w:rPr>
          <w:rFonts w:eastAsia="標楷體" w:hint="eastAsia"/>
        </w:rPr>
        <w:t>萬</w:t>
      </w:r>
      <w:r w:rsidRPr="00ED787C">
        <w:rPr>
          <w:rFonts w:eastAsia="標楷體"/>
        </w:rPr>
        <w:t>776</w:t>
      </w:r>
      <w:r w:rsidRPr="00ED787C">
        <w:rPr>
          <w:rFonts w:eastAsia="標楷體" w:hint="eastAsia"/>
        </w:rPr>
        <w:t>人及少年</w:t>
      </w:r>
      <w:r w:rsidRPr="00ED787C">
        <w:rPr>
          <w:rFonts w:eastAsia="標楷體"/>
        </w:rPr>
        <w:t>8,398</w:t>
      </w:r>
      <w:r w:rsidRPr="00ED787C">
        <w:rPr>
          <w:rFonts w:eastAsia="標楷體" w:hint="eastAsia"/>
        </w:rPr>
        <w:t>人，平均每萬人兒童及少年受虐數為</w:t>
      </w:r>
      <w:r w:rsidRPr="00ED787C">
        <w:rPr>
          <w:rFonts w:eastAsia="標楷體"/>
        </w:rPr>
        <w:t>43.</w:t>
      </w:r>
      <w:r w:rsidR="00FD40DA">
        <w:rPr>
          <w:rFonts w:eastAsia="標楷體" w:hint="eastAsia"/>
        </w:rPr>
        <w:t>8</w:t>
      </w:r>
      <w:r w:rsidRPr="00ED787C">
        <w:rPr>
          <w:rFonts w:eastAsia="標楷體" w:hint="eastAsia"/>
        </w:rPr>
        <w:t>人，</w:t>
      </w:r>
      <w:r w:rsidR="006C02B3">
        <w:rPr>
          <w:rFonts w:eastAsia="標楷體" w:hint="eastAsia"/>
        </w:rPr>
        <w:t>較</w:t>
      </w:r>
      <w:r w:rsidR="00522A54">
        <w:rPr>
          <w:rFonts w:eastAsia="標楷體" w:hint="eastAsia"/>
        </w:rPr>
        <w:t>100</w:t>
      </w:r>
      <w:r w:rsidR="006C02B3">
        <w:rPr>
          <w:rFonts w:eastAsia="標楷體" w:hint="eastAsia"/>
        </w:rPr>
        <w:t>年增加</w:t>
      </w:r>
      <w:r w:rsidR="006C02B3">
        <w:rPr>
          <w:rFonts w:eastAsia="標楷體"/>
        </w:rPr>
        <w:t>4.2</w:t>
      </w:r>
      <w:r w:rsidR="006C02B3">
        <w:rPr>
          <w:rFonts w:eastAsia="標楷體" w:hint="eastAsia"/>
        </w:rPr>
        <w:t>人</w:t>
      </w:r>
      <w:r w:rsidR="006C02B3" w:rsidRPr="00ED787C">
        <w:rPr>
          <w:rFonts w:eastAsia="標楷體" w:hint="eastAsia"/>
        </w:rPr>
        <w:t>，</w:t>
      </w:r>
      <w:r w:rsidRPr="00ED787C">
        <w:rPr>
          <w:rFonts w:eastAsia="標楷體" w:hint="eastAsia"/>
        </w:rPr>
        <w:t>平均每萬人兒童及少年受虐人數以花蓮縣</w:t>
      </w:r>
      <w:r w:rsidRPr="00ED787C">
        <w:rPr>
          <w:rFonts w:eastAsia="標楷體"/>
        </w:rPr>
        <w:t>167.</w:t>
      </w:r>
      <w:r w:rsidR="00FD40DA">
        <w:rPr>
          <w:rFonts w:eastAsia="標楷體" w:hint="eastAsia"/>
        </w:rPr>
        <w:t>1</w:t>
      </w:r>
      <w:r w:rsidRPr="00ED787C">
        <w:rPr>
          <w:rFonts w:eastAsia="標楷體" w:hint="eastAsia"/>
        </w:rPr>
        <w:t>人及臺東縣</w:t>
      </w:r>
      <w:r w:rsidRPr="00ED787C">
        <w:rPr>
          <w:rFonts w:eastAsia="標楷體"/>
        </w:rPr>
        <w:t>109.8</w:t>
      </w:r>
      <w:r w:rsidRPr="00ED787C">
        <w:rPr>
          <w:rFonts w:eastAsia="標楷體" w:hint="eastAsia"/>
        </w:rPr>
        <w:t>人為最高，連江縣</w:t>
      </w:r>
      <w:r w:rsidRPr="00ED787C">
        <w:rPr>
          <w:rFonts w:eastAsia="標楷體"/>
        </w:rPr>
        <w:t>5.</w:t>
      </w:r>
      <w:r w:rsidR="00FD40DA">
        <w:rPr>
          <w:rFonts w:eastAsia="標楷體" w:hint="eastAsia"/>
        </w:rPr>
        <w:t>1</w:t>
      </w:r>
      <w:r w:rsidRPr="00ED787C">
        <w:rPr>
          <w:rFonts w:eastAsia="標楷體" w:hint="eastAsia"/>
        </w:rPr>
        <w:t>人為最低。</w:t>
      </w:r>
    </w:p>
    <w:p w:rsidR="00CD7C94" w:rsidRDefault="00E81834" w:rsidP="00CD7C94">
      <w:pPr>
        <w:widowControl/>
        <w:ind w:firstLineChars="200" w:firstLine="480"/>
        <w:jc w:val="both"/>
        <w:rPr>
          <w:rFonts w:eastAsia="標楷體"/>
        </w:rPr>
      </w:pPr>
      <w:r>
        <w:rPr>
          <w:rFonts w:eastAsia="標楷體"/>
        </w:rPr>
        <w:t>101</w:t>
      </w:r>
      <w:r>
        <w:rPr>
          <w:rFonts w:eastAsia="標楷體" w:hint="eastAsia"/>
        </w:rPr>
        <w:t>年施虐人數</w:t>
      </w:r>
      <w:r>
        <w:rPr>
          <w:rFonts w:eastAsia="標楷體"/>
        </w:rPr>
        <w:t>1</w:t>
      </w:r>
      <w:r>
        <w:rPr>
          <w:rFonts w:eastAsia="標楷體" w:hint="eastAsia"/>
        </w:rPr>
        <w:t>萬</w:t>
      </w:r>
      <w:r>
        <w:rPr>
          <w:rFonts w:eastAsia="標楷體"/>
        </w:rPr>
        <w:t>9,447</w:t>
      </w:r>
      <w:r>
        <w:rPr>
          <w:rFonts w:eastAsia="標楷體" w:hint="eastAsia"/>
        </w:rPr>
        <w:t>人，較</w:t>
      </w:r>
      <w:r w:rsidR="00522A54">
        <w:rPr>
          <w:rFonts w:eastAsia="標楷體" w:hint="eastAsia"/>
        </w:rPr>
        <w:t>100</w:t>
      </w:r>
      <w:r>
        <w:rPr>
          <w:rFonts w:eastAsia="標楷體" w:hint="eastAsia"/>
        </w:rPr>
        <w:t>年增加</w:t>
      </w:r>
      <w:r>
        <w:rPr>
          <w:rFonts w:eastAsia="標楷體"/>
        </w:rPr>
        <w:t>10.</w:t>
      </w:r>
      <w:r w:rsidR="00FD40DA">
        <w:rPr>
          <w:rFonts w:eastAsia="標楷體" w:hint="eastAsia"/>
        </w:rPr>
        <w:t>3</w:t>
      </w:r>
      <w:r>
        <w:rPr>
          <w:rFonts w:eastAsia="標楷體"/>
        </w:rPr>
        <w:t>%</w:t>
      </w:r>
      <w:r>
        <w:rPr>
          <w:rFonts w:eastAsia="標楷體" w:hint="eastAsia"/>
        </w:rPr>
        <w:t>，政府為避免兒童及少年生命、身體或自由有立即之危險或有危險之虞而予以</w:t>
      </w:r>
      <w:r w:rsidR="00070258">
        <w:rPr>
          <w:rFonts w:eastAsia="標楷體" w:hint="eastAsia"/>
        </w:rPr>
        <w:t>適當</w:t>
      </w:r>
      <w:r>
        <w:rPr>
          <w:rFonts w:eastAsia="標楷體" w:hint="eastAsia"/>
        </w:rPr>
        <w:t>保護處理安置，共計</w:t>
      </w:r>
      <w:r>
        <w:rPr>
          <w:rFonts w:eastAsia="標楷體"/>
        </w:rPr>
        <w:t>1</w:t>
      </w:r>
      <w:r>
        <w:rPr>
          <w:rFonts w:eastAsia="標楷體" w:hint="eastAsia"/>
        </w:rPr>
        <w:t>萬</w:t>
      </w:r>
      <w:r>
        <w:rPr>
          <w:rFonts w:eastAsia="標楷體"/>
        </w:rPr>
        <w:t>9,174</w:t>
      </w:r>
      <w:r>
        <w:rPr>
          <w:rFonts w:eastAsia="標楷體" w:hint="eastAsia"/>
        </w:rPr>
        <w:t>人次，較</w:t>
      </w:r>
      <w:r w:rsidR="00522A54">
        <w:rPr>
          <w:rFonts w:eastAsia="標楷體" w:hint="eastAsia"/>
        </w:rPr>
        <w:t>100</w:t>
      </w:r>
      <w:r>
        <w:rPr>
          <w:rFonts w:eastAsia="標楷體" w:hint="eastAsia"/>
        </w:rPr>
        <w:t>年增加</w:t>
      </w:r>
      <w:r>
        <w:rPr>
          <w:rFonts w:eastAsia="標楷體"/>
        </w:rPr>
        <w:t>8.</w:t>
      </w:r>
      <w:r w:rsidR="00FD40DA">
        <w:rPr>
          <w:rFonts w:eastAsia="標楷體" w:hint="eastAsia"/>
        </w:rPr>
        <w:t>9</w:t>
      </w:r>
      <w:r>
        <w:rPr>
          <w:rFonts w:eastAsia="標楷體"/>
        </w:rPr>
        <w:t>%</w:t>
      </w:r>
      <w:r>
        <w:rPr>
          <w:rFonts w:eastAsia="標楷體" w:hint="eastAsia"/>
        </w:rPr>
        <w:t>，</w:t>
      </w:r>
      <w:r w:rsidR="00070258">
        <w:rPr>
          <w:rFonts w:eastAsia="標楷體" w:hint="eastAsia"/>
        </w:rPr>
        <w:t>在各項處理安置情形中，則</w:t>
      </w:r>
      <w:r>
        <w:rPr>
          <w:rFonts w:eastAsia="標楷體" w:hint="eastAsia"/>
        </w:rPr>
        <w:t>以「個案仍住家中」占</w:t>
      </w:r>
      <w:r>
        <w:rPr>
          <w:rFonts w:eastAsia="標楷體"/>
        </w:rPr>
        <w:t>82.</w:t>
      </w:r>
      <w:r w:rsidR="00FD40DA">
        <w:rPr>
          <w:rFonts w:eastAsia="標楷體" w:hint="eastAsia"/>
        </w:rPr>
        <w:t>2</w:t>
      </w:r>
      <w:r>
        <w:rPr>
          <w:rFonts w:eastAsia="標楷體"/>
        </w:rPr>
        <w:t>%</w:t>
      </w:r>
      <w:r>
        <w:rPr>
          <w:rFonts w:eastAsia="標楷體" w:hint="eastAsia"/>
        </w:rPr>
        <w:t>為最高。</w:t>
      </w:r>
      <w:r w:rsidR="00CD7C94">
        <w:rPr>
          <w:rFonts w:eastAsia="標楷體"/>
        </w:rPr>
        <w:br w:type="page"/>
      </w:r>
    </w:p>
    <w:p w:rsidR="00E81834" w:rsidRDefault="00CD7C94" w:rsidP="009E519C">
      <w:pPr>
        <w:pStyle w:val="2"/>
        <w:snapToGrid w:val="0"/>
        <w:spacing w:line="240" w:lineRule="auto"/>
        <w:ind w:firstLine="284"/>
        <w:rPr>
          <w:rFonts w:eastAsia="標楷體"/>
          <w:lang w:val="x-none"/>
        </w:rPr>
      </w:pPr>
      <w:bookmarkStart w:id="17" w:name="_Toc378767216"/>
      <w:r w:rsidRPr="004C7A0F">
        <w:rPr>
          <w:rFonts w:ascii="Times New Roman" w:eastAsia="標楷體" w:hAnsi="Times New Roman"/>
          <w:sz w:val="28"/>
        </w:rPr>
        <w:lastRenderedPageBreak/>
        <w:t xml:space="preserve"> </w:t>
      </w:r>
      <w:r w:rsidR="00E81834" w:rsidRPr="004C7A0F">
        <w:rPr>
          <w:rFonts w:ascii="Times New Roman" w:eastAsia="標楷體" w:hAnsi="Times New Roman"/>
          <w:sz w:val="28"/>
        </w:rPr>
        <w:t>(</w:t>
      </w:r>
      <w:r w:rsidR="00E81834">
        <w:rPr>
          <w:rFonts w:ascii="Times New Roman" w:eastAsia="標楷體" w:hAnsi="Times New Roman" w:hint="eastAsia"/>
          <w:sz w:val="28"/>
          <w:lang w:val="x-none"/>
        </w:rPr>
        <w:t>二</w:t>
      </w:r>
      <w:r w:rsidR="00E81834" w:rsidRPr="004C7A0F">
        <w:rPr>
          <w:rFonts w:ascii="Times New Roman" w:eastAsia="標楷體" w:hAnsi="Times New Roman"/>
          <w:sz w:val="28"/>
        </w:rPr>
        <w:t xml:space="preserve">) </w:t>
      </w:r>
      <w:r w:rsidR="00E81834">
        <w:rPr>
          <w:rFonts w:ascii="Times New Roman" w:eastAsia="標楷體" w:hAnsi="Times New Roman" w:hint="eastAsia"/>
          <w:sz w:val="28"/>
          <w:lang w:val="x-none"/>
        </w:rPr>
        <w:t>家庭暴力防治</w:t>
      </w:r>
      <w:bookmarkEnd w:id="17"/>
    </w:p>
    <w:p w:rsidR="00E81834" w:rsidRPr="0025251C" w:rsidRDefault="00E81834" w:rsidP="00B51259">
      <w:pPr>
        <w:ind w:leftChars="354" w:left="850"/>
        <w:rPr>
          <w:rFonts w:eastAsia="標楷體"/>
          <w:b/>
        </w:rPr>
      </w:pPr>
      <w:r w:rsidRPr="0025251C">
        <w:rPr>
          <w:rFonts w:eastAsia="標楷體" w:hint="eastAsia"/>
          <w:b/>
        </w:rPr>
        <w:t>被害人及加害人性別上差距逐年縮小</w:t>
      </w:r>
    </w:p>
    <w:p w:rsidR="00E81834" w:rsidRPr="004259AC" w:rsidRDefault="00E81834" w:rsidP="004259AC">
      <w:pPr>
        <w:widowControl/>
        <w:jc w:val="center"/>
        <w:rPr>
          <w:rFonts w:ascii="標楷體" w:eastAsia="標楷體" w:hAnsi="標楷體"/>
          <w:sz w:val="28"/>
          <w:szCs w:val="28"/>
        </w:rPr>
      </w:pPr>
      <w:r w:rsidRPr="004259AC">
        <w:rPr>
          <w:rFonts w:ascii="標楷體" w:eastAsia="標楷體" w:hAnsi="標楷體" w:hint="eastAsia"/>
          <w:sz w:val="28"/>
          <w:szCs w:val="28"/>
        </w:rPr>
        <w:t>歷年家庭暴力通報件數－按案件類型</w:t>
      </w:r>
    </w:p>
    <w:p w:rsidR="00E81834" w:rsidRDefault="008F0D50" w:rsidP="004259AC">
      <w:pPr>
        <w:widowControl/>
        <w:jc w:val="center"/>
      </w:pPr>
      <w:r>
        <w:rPr>
          <w:noProof/>
        </w:rPr>
        <w:drawing>
          <wp:inline distT="0" distB="0" distL="0" distR="0" wp14:anchorId="0CE48558" wp14:editId="35DC37F8">
            <wp:extent cx="5029200" cy="2743200"/>
            <wp:effectExtent l="0" t="0" r="0" b="0"/>
            <wp:docPr id="126" name="圖表 7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81834" w:rsidRPr="00F43E3D" w:rsidRDefault="00E81834" w:rsidP="004259AC">
      <w:pPr>
        <w:widowControl/>
        <w:jc w:val="center"/>
        <w:rPr>
          <w:rFonts w:ascii="標楷體" w:eastAsia="標楷體" w:hAnsi="標楷體"/>
          <w:sz w:val="28"/>
          <w:szCs w:val="28"/>
        </w:rPr>
      </w:pPr>
      <w:r w:rsidRPr="00F43E3D">
        <w:rPr>
          <w:rFonts w:ascii="標楷體" w:eastAsia="標楷體" w:hAnsi="標楷體" w:hint="eastAsia"/>
          <w:sz w:val="28"/>
          <w:szCs w:val="28"/>
        </w:rPr>
        <w:t>歷年家庭暴力防治業務</w:t>
      </w:r>
    </w:p>
    <w:p w:rsidR="00E81834" w:rsidRDefault="00D47330" w:rsidP="004259AC">
      <w:pPr>
        <w:widowControl/>
        <w:jc w:val="center"/>
      </w:pPr>
      <w:r w:rsidRPr="00D47330">
        <w:rPr>
          <w:noProof/>
        </w:rPr>
        <w:drawing>
          <wp:inline distT="0" distB="0" distL="0" distR="0" wp14:anchorId="5C5BE502" wp14:editId="4C6D553E">
            <wp:extent cx="6301105" cy="1700703"/>
            <wp:effectExtent l="0" t="0" r="4445" b="0"/>
            <wp:docPr id="257" name="圖片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1700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834" w:rsidRDefault="00FD40DA" w:rsidP="004259AC">
      <w:pPr>
        <w:widowControl/>
        <w:jc w:val="center"/>
      </w:pPr>
      <w:r w:rsidRPr="00FD40DA">
        <w:rPr>
          <w:noProof/>
        </w:rPr>
        <w:drawing>
          <wp:inline distT="0" distB="0" distL="0" distR="0" wp14:anchorId="196C0B5C" wp14:editId="60FC881C">
            <wp:extent cx="6301105" cy="914814"/>
            <wp:effectExtent l="0" t="0" r="4445" b="0"/>
            <wp:docPr id="263" name="圖片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914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834" w:rsidRPr="001E3F1A" w:rsidRDefault="00E81834" w:rsidP="00B51259">
      <w:pPr>
        <w:widowControl/>
        <w:ind w:firstLineChars="200" w:firstLine="480"/>
        <w:jc w:val="both"/>
        <w:rPr>
          <w:rFonts w:eastAsia="標楷體"/>
        </w:rPr>
      </w:pPr>
      <w:r w:rsidRPr="003B348B">
        <w:rPr>
          <w:rFonts w:eastAsia="標楷體" w:hint="eastAsia"/>
        </w:rPr>
        <w:t>家庭暴力防治</w:t>
      </w:r>
      <w:r>
        <w:rPr>
          <w:rFonts w:eastAsia="標楷體" w:hint="eastAsia"/>
        </w:rPr>
        <w:t>主要</w:t>
      </w:r>
      <w:r w:rsidRPr="003614B0">
        <w:rPr>
          <w:rFonts w:eastAsia="標楷體" w:hint="eastAsia"/>
        </w:rPr>
        <w:t>為防治</w:t>
      </w:r>
      <w:r w:rsidRPr="00AE3EAD">
        <w:rPr>
          <w:rFonts w:eastAsia="標楷體" w:hint="eastAsia"/>
        </w:rPr>
        <w:t>家庭成員間實施身體或精神上不法侵害之行為</w:t>
      </w:r>
      <w:r>
        <w:rPr>
          <w:rFonts w:eastAsia="標楷體" w:hint="eastAsia"/>
        </w:rPr>
        <w:t>並且</w:t>
      </w:r>
      <w:r w:rsidRPr="003614B0">
        <w:rPr>
          <w:rFonts w:eastAsia="標楷體" w:hint="eastAsia"/>
        </w:rPr>
        <w:t>保護被害人權益</w:t>
      </w:r>
      <w:r>
        <w:rPr>
          <w:rFonts w:eastAsia="標楷體" w:hint="eastAsia"/>
        </w:rPr>
        <w:t>，</w:t>
      </w:r>
      <w:r>
        <w:rPr>
          <w:rFonts w:eastAsia="標楷體"/>
        </w:rPr>
        <w:t>101</w:t>
      </w:r>
      <w:r>
        <w:rPr>
          <w:rFonts w:eastAsia="標楷體" w:hint="eastAsia"/>
        </w:rPr>
        <w:t>年家庭暴力通報件數</w:t>
      </w:r>
      <w:r w:rsidRPr="003B348B">
        <w:rPr>
          <w:rFonts w:eastAsia="標楷體"/>
        </w:rPr>
        <w:t>11</w:t>
      </w:r>
      <w:r>
        <w:rPr>
          <w:rFonts w:eastAsia="標楷體" w:hint="eastAsia"/>
        </w:rPr>
        <w:t>萬</w:t>
      </w:r>
      <w:r w:rsidRPr="003B348B">
        <w:rPr>
          <w:rFonts w:eastAsia="標楷體"/>
        </w:rPr>
        <w:t>5</w:t>
      </w:r>
      <w:r>
        <w:rPr>
          <w:rFonts w:eastAsia="標楷體"/>
        </w:rPr>
        <w:t>,</w:t>
      </w:r>
      <w:r w:rsidRPr="003B348B">
        <w:rPr>
          <w:rFonts w:eastAsia="標楷體"/>
        </w:rPr>
        <w:t>203</w:t>
      </w:r>
      <w:r>
        <w:rPr>
          <w:rFonts w:eastAsia="標楷體" w:hint="eastAsia"/>
        </w:rPr>
        <w:t>件，其中以「</w:t>
      </w:r>
      <w:r w:rsidRPr="00762FB9">
        <w:rPr>
          <w:rFonts w:eastAsia="標楷體" w:hint="eastAsia"/>
        </w:rPr>
        <w:t>婚姻、離婚或同居關係暴力</w:t>
      </w:r>
      <w:r>
        <w:rPr>
          <w:rFonts w:eastAsia="標楷體" w:hint="eastAsia"/>
        </w:rPr>
        <w:t>」占五成三為最高，</w:t>
      </w:r>
      <w:r w:rsidR="006C02B3">
        <w:rPr>
          <w:rFonts w:eastAsia="標楷體" w:hint="eastAsia"/>
        </w:rPr>
        <w:t>較</w:t>
      </w:r>
      <w:r w:rsidR="00522A54">
        <w:rPr>
          <w:rFonts w:eastAsia="標楷體" w:hint="eastAsia"/>
        </w:rPr>
        <w:t>100</w:t>
      </w:r>
      <w:r w:rsidR="006C02B3">
        <w:rPr>
          <w:rFonts w:eastAsia="標楷體" w:hint="eastAsia"/>
        </w:rPr>
        <w:t>年增幅最高者為</w:t>
      </w:r>
      <w:r>
        <w:rPr>
          <w:rFonts w:eastAsia="標楷體" w:hint="eastAsia"/>
        </w:rPr>
        <w:t>「兒少保護」</w:t>
      </w:r>
      <w:r w:rsidR="006C02B3">
        <w:rPr>
          <w:rFonts w:eastAsia="標楷體" w:hint="eastAsia"/>
        </w:rPr>
        <w:t>之</w:t>
      </w:r>
      <w:r>
        <w:rPr>
          <w:rFonts w:eastAsia="標楷體"/>
        </w:rPr>
        <w:t>21.8%</w:t>
      </w:r>
      <w:r>
        <w:rPr>
          <w:rFonts w:eastAsia="標楷體" w:hint="eastAsia"/>
        </w:rPr>
        <w:t>。</w:t>
      </w:r>
    </w:p>
    <w:p w:rsidR="008971B5" w:rsidRDefault="00E81834" w:rsidP="00B51259">
      <w:pPr>
        <w:widowControl/>
        <w:ind w:firstLineChars="200" w:firstLine="480"/>
        <w:jc w:val="both"/>
        <w:rPr>
          <w:rFonts w:eastAsia="標楷體"/>
        </w:rPr>
      </w:pPr>
      <w:r w:rsidRPr="00725418">
        <w:rPr>
          <w:rFonts w:eastAsia="標楷體"/>
        </w:rPr>
        <w:t>101</w:t>
      </w:r>
      <w:r w:rsidRPr="00725418">
        <w:rPr>
          <w:rFonts w:eastAsia="標楷體" w:hint="eastAsia"/>
        </w:rPr>
        <w:t>年家庭暴力「被害人」計</w:t>
      </w:r>
      <w:r w:rsidRPr="00725418">
        <w:rPr>
          <w:rFonts w:eastAsia="標楷體"/>
        </w:rPr>
        <w:t>9</w:t>
      </w:r>
      <w:r w:rsidRPr="00725418">
        <w:rPr>
          <w:rFonts w:eastAsia="標楷體" w:hint="eastAsia"/>
        </w:rPr>
        <w:t>萬</w:t>
      </w:r>
      <w:r w:rsidRPr="00725418">
        <w:rPr>
          <w:rFonts w:eastAsia="標楷體"/>
        </w:rPr>
        <w:t>8,399</w:t>
      </w:r>
      <w:r w:rsidRPr="00725418">
        <w:rPr>
          <w:rFonts w:eastAsia="標楷體" w:hint="eastAsia"/>
        </w:rPr>
        <w:t>人，</w:t>
      </w:r>
      <w:r>
        <w:rPr>
          <w:rFonts w:eastAsia="標楷體" w:hint="eastAsia"/>
        </w:rPr>
        <w:t>其中女性</w:t>
      </w:r>
      <w:r w:rsidR="00EA2360" w:rsidRPr="00725418">
        <w:rPr>
          <w:rFonts w:eastAsia="標楷體" w:hint="eastAsia"/>
        </w:rPr>
        <w:t>被害人</w:t>
      </w:r>
      <w:r>
        <w:rPr>
          <w:rFonts w:eastAsia="標楷體" w:hint="eastAsia"/>
        </w:rPr>
        <w:t>占</w:t>
      </w:r>
      <w:r w:rsidR="00522A54">
        <w:rPr>
          <w:rFonts w:eastAsia="標楷體" w:hint="eastAsia"/>
        </w:rPr>
        <w:t>率</w:t>
      </w:r>
      <w:r>
        <w:rPr>
          <w:rFonts w:eastAsia="標楷體"/>
        </w:rPr>
        <w:t>70.7%</w:t>
      </w:r>
      <w:r>
        <w:rPr>
          <w:rFonts w:eastAsia="標楷體" w:hint="eastAsia"/>
        </w:rPr>
        <w:t>，男性較</w:t>
      </w:r>
      <w:r w:rsidR="00522A54">
        <w:rPr>
          <w:rFonts w:eastAsia="標楷體" w:hint="eastAsia"/>
        </w:rPr>
        <w:t>100</w:t>
      </w:r>
      <w:r>
        <w:rPr>
          <w:rFonts w:eastAsia="標楷體" w:hint="eastAsia"/>
        </w:rPr>
        <w:t>年增加</w:t>
      </w:r>
      <w:r>
        <w:rPr>
          <w:rFonts w:eastAsia="標楷體"/>
        </w:rPr>
        <w:t>13.5%</w:t>
      </w:r>
      <w:r>
        <w:rPr>
          <w:rFonts w:eastAsia="標楷體" w:hint="eastAsia"/>
        </w:rPr>
        <w:t>成長最多，被害人接受保護扶助達</w:t>
      </w:r>
      <w:r>
        <w:rPr>
          <w:rFonts w:eastAsia="標楷體"/>
        </w:rPr>
        <w:t>91</w:t>
      </w:r>
      <w:r>
        <w:rPr>
          <w:rFonts w:eastAsia="標楷體" w:hint="eastAsia"/>
        </w:rPr>
        <w:t>萬</w:t>
      </w:r>
      <w:r>
        <w:rPr>
          <w:rFonts w:eastAsia="標楷體"/>
        </w:rPr>
        <w:t>5,844</w:t>
      </w:r>
      <w:r>
        <w:rPr>
          <w:rFonts w:eastAsia="標楷體" w:hint="eastAsia"/>
        </w:rPr>
        <w:t>人次，較</w:t>
      </w:r>
      <w:r w:rsidR="00522A54">
        <w:rPr>
          <w:rFonts w:eastAsia="標楷體" w:hint="eastAsia"/>
        </w:rPr>
        <w:t>100</w:t>
      </w:r>
      <w:r>
        <w:rPr>
          <w:rFonts w:eastAsia="標楷體" w:hint="eastAsia"/>
        </w:rPr>
        <w:t>年增加</w:t>
      </w:r>
      <w:r>
        <w:rPr>
          <w:rFonts w:eastAsia="標楷體"/>
        </w:rPr>
        <w:t>5.1%</w:t>
      </w:r>
      <w:r w:rsidR="008971B5">
        <w:rPr>
          <w:rFonts w:eastAsia="標楷體" w:hint="eastAsia"/>
        </w:rPr>
        <w:t>。以性別比觀察，被害人性別比（女</w:t>
      </w:r>
      <w:r w:rsidR="008971B5">
        <w:rPr>
          <w:rFonts w:eastAsia="標楷體"/>
        </w:rPr>
        <w:t>/</w:t>
      </w:r>
      <w:r w:rsidR="008971B5">
        <w:rPr>
          <w:rFonts w:eastAsia="標楷體" w:hint="eastAsia"/>
        </w:rPr>
        <w:t>男）倍數呈現逐年下降趨勢，</w:t>
      </w:r>
      <w:r w:rsidR="008971B5">
        <w:rPr>
          <w:rFonts w:eastAsia="標楷體"/>
        </w:rPr>
        <w:t>101</w:t>
      </w:r>
      <w:r w:rsidR="008971B5">
        <w:rPr>
          <w:rFonts w:eastAsia="標楷體" w:hint="eastAsia"/>
        </w:rPr>
        <w:t>年較</w:t>
      </w:r>
      <w:r w:rsidR="008971B5">
        <w:rPr>
          <w:rFonts w:eastAsia="標楷體"/>
        </w:rPr>
        <w:t>95</w:t>
      </w:r>
      <w:r w:rsidR="007E2D8F">
        <w:rPr>
          <w:rFonts w:eastAsia="標楷體" w:hint="eastAsia"/>
        </w:rPr>
        <w:t>年</w:t>
      </w:r>
      <w:r w:rsidR="008971B5">
        <w:rPr>
          <w:rFonts w:eastAsia="標楷體" w:hint="eastAsia"/>
        </w:rPr>
        <w:t>減少</w:t>
      </w:r>
      <w:r w:rsidR="008971B5">
        <w:rPr>
          <w:rFonts w:eastAsia="標楷體"/>
        </w:rPr>
        <w:t>1.</w:t>
      </w:r>
      <w:r w:rsidR="00EA2360">
        <w:rPr>
          <w:rFonts w:eastAsia="標楷體" w:hint="eastAsia"/>
        </w:rPr>
        <w:t>8</w:t>
      </w:r>
      <w:r w:rsidR="008971B5">
        <w:rPr>
          <w:rFonts w:eastAsia="標楷體" w:hint="eastAsia"/>
        </w:rPr>
        <w:t>倍</w:t>
      </w:r>
    </w:p>
    <w:p w:rsidR="00E81834" w:rsidRDefault="008971B5" w:rsidP="00B51259">
      <w:pPr>
        <w:widowControl/>
        <w:ind w:firstLineChars="200" w:firstLine="480"/>
        <w:jc w:val="both"/>
        <w:rPr>
          <w:rFonts w:eastAsia="標楷體"/>
          <w:b/>
          <w:bCs/>
          <w:sz w:val="28"/>
          <w:szCs w:val="48"/>
          <w:lang w:val="x-none" w:eastAsia="x-none"/>
        </w:rPr>
      </w:pPr>
      <w:r w:rsidRPr="00725418">
        <w:rPr>
          <w:rFonts w:eastAsia="標楷體"/>
        </w:rPr>
        <w:t>101</w:t>
      </w:r>
      <w:r w:rsidRPr="00725418">
        <w:rPr>
          <w:rFonts w:eastAsia="標楷體" w:hint="eastAsia"/>
        </w:rPr>
        <w:t>年家庭暴力</w:t>
      </w:r>
      <w:r w:rsidR="00E81834">
        <w:rPr>
          <w:rFonts w:eastAsia="標楷體" w:hint="eastAsia"/>
        </w:rPr>
        <w:t>「加害人」計</w:t>
      </w:r>
      <w:r w:rsidR="00E81834">
        <w:rPr>
          <w:rFonts w:eastAsia="標楷體"/>
        </w:rPr>
        <w:t>9</w:t>
      </w:r>
      <w:r w:rsidR="00E81834">
        <w:rPr>
          <w:rFonts w:eastAsia="標楷體" w:hint="eastAsia"/>
        </w:rPr>
        <w:t>萬</w:t>
      </w:r>
      <w:r w:rsidR="00E81834">
        <w:rPr>
          <w:rFonts w:eastAsia="標楷體"/>
        </w:rPr>
        <w:t>4,750</w:t>
      </w:r>
      <w:r w:rsidR="00E81834">
        <w:rPr>
          <w:rFonts w:eastAsia="標楷體" w:hint="eastAsia"/>
        </w:rPr>
        <w:t>人，男性</w:t>
      </w:r>
      <w:r w:rsidR="00EA2360">
        <w:rPr>
          <w:rFonts w:eastAsia="標楷體" w:hint="eastAsia"/>
        </w:rPr>
        <w:t>加</w:t>
      </w:r>
      <w:r w:rsidR="00EA2360" w:rsidRPr="00725418">
        <w:rPr>
          <w:rFonts w:eastAsia="標楷體" w:hint="eastAsia"/>
        </w:rPr>
        <w:t>害人</w:t>
      </w:r>
      <w:r w:rsidR="00E81834">
        <w:rPr>
          <w:rFonts w:eastAsia="標楷體" w:hint="eastAsia"/>
        </w:rPr>
        <w:t>占</w:t>
      </w:r>
      <w:r w:rsidR="00522A54">
        <w:rPr>
          <w:rFonts w:eastAsia="標楷體" w:hint="eastAsia"/>
        </w:rPr>
        <w:t>率</w:t>
      </w:r>
      <w:r w:rsidR="00E81834">
        <w:rPr>
          <w:rFonts w:eastAsia="標楷體"/>
        </w:rPr>
        <w:t>77.4%</w:t>
      </w:r>
      <w:r w:rsidR="00E81834">
        <w:rPr>
          <w:rFonts w:eastAsia="標楷體" w:hint="eastAsia"/>
        </w:rPr>
        <w:t>，女性較</w:t>
      </w:r>
      <w:r w:rsidR="00522A54">
        <w:rPr>
          <w:rFonts w:eastAsia="標楷體" w:hint="eastAsia"/>
        </w:rPr>
        <w:t>100</w:t>
      </w:r>
      <w:r w:rsidR="00E81834">
        <w:rPr>
          <w:rFonts w:eastAsia="標楷體" w:hint="eastAsia"/>
        </w:rPr>
        <w:t>年增加</w:t>
      </w:r>
      <w:r w:rsidR="00E81834">
        <w:rPr>
          <w:rFonts w:eastAsia="標楷體"/>
        </w:rPr>
        <w:t>12.6%</w:t>
      </w:r>
      <w:r w:rsidR="00E81834">
        <w:rPr>
          <w:rFonts w:eastAsia="標楷體" w:hint="eastAsia"/>
        </w:rPr>
        <w:t>成長最多。</w:t>
      </w:r>
      <w:r>
        <w:rPr>
          <w:rFonts w:eastAsia="標楷體" w:hint="eastAsia"/>
        </w:rPr>
        <w:t>以性別比觀察，</w:t>
      </w:r>
      <w:r w:rsidR="00E81834">
        <w:rPr>
          <w:rFonts w:eastAsia="標楷體" w:hint="eastAsia"/>
        </w:rPr>
        <w:t>加害人性別比</w:t>
      </w:r>
      <w:r w:rsidR="00E81834" w:rsidRPr="005B69C1">
        <w:rPr>
          <w:rFonts w:eastAsia="標楷體" w:hint="eastAsia"/>
        </w:rPr>
        <w:t>（男</w:t>
      </w:r>
      <w:r w:rsidR="00E81834" w:rsidRPr="005B69C1">
        <w:rPr>
          <w:rFonts w:eastAsia="標楷體"/>
        </w:rPr>
        <w:t>/</w:t>
      </w:r>
      <w:r w:rsidR="00E81834" w:rsidRPr="005B69C1">
        <w:rPr>
          <w:rFonts w:eastAsia="標楷體" w:hint="eastAsia"/>
        </w:rPr>
        <w:t>女）</w:t>
      </w:r>
      <w:r w:rsidR="00E81834">
        <w:rPr>
          <w:rFonts w:eastAsia="標楷體" w:hint="eastAsia"/>
        </w:rPr>
        <w:t>倍數呈現逐年下降趨勢，</w:t>
      </w:r>
      <w:r w:rsidR="00E81834">
        <w:rPr>
          <w:rFonts w:eastAsia="標楷體"/>
        </w:rPr>
        <w:t>101</w:t>
      </w:r>
      <w:r w:rsidR="00E81834">
        <w:rPr>
          <w:rFonts w:eastAsia="標楷體" w:hint="eastAsia"/>
        </w:rPr>
        <w:t>年較</w:t>
      </w:r>
      <w:r w:rsidR="00E81834">
        <w:rPr>
          <w:rFonts w:eastAsia="標楷體"/>
        </w:rPr>
        <w:t>95</w:t>
      </w:r>
      <w:r w:rsidR="007E2D8F">
        <w:rPr>
          <w:rFonts w:eastAsia="標楷體" w:hint="eastAsia"/>
        </w:rPr>
        <w:t>年</w:t>
      </w:r>
      <w:r w:rsidR="00E81834">
        <w:rPr>
          <w:rFonts w:eastAsia="標楷體" w:hint="eastAsia"/>
        </w:rPr>
        <w:t>減少</w:t>
      </w:r>
      <w:r w:rsidR="00E81834">
        <w:rPr>
          <w:rFonts w:eastAsia="標楷體"/>
        </w:rPr>
        <w:t>2.2</w:t>
      </w:r>
      <w:r w:rsidR="00E81834">
        <w:rPr>
          <w:rFonts w:eastAsia="標楷體" w:hint="eastAsia"/>
        </w:rPr>
        <w:t>倍。</w:t>
      </w:r>
    </w:p>
    <w:p w:rsidR="00FD40DA" w:rsidRDefault="00FD40DA">
      <w:pPr>
        <w:widowControl/>
        <w:rPr>
          <w:rFonts w:eastAsia="標楷體"/>
          <w:b/>
          <w:bCs/>
          <w:sz w:val="28"/>
          <w:szCs w:val="48"/>
        </w:rPr>
      </w:pPr>
      <w:bookmarkStart w:id="18" w:name="_Toc378767217"/>
      <w:r>
        <w:rPr>
          <w:rFonts w:eastAsia="標楷體"/>
          <w:sz w:val="28"/>
        </w:rPr>
        <w:br w:type="page"/>
      </w:r>
    </w:p>
    <w:p w:rsidR="00E81834" w:rsidRDefault="00E81834" w:rsidP="00857A39">
      <w:pPr>
        <w:pStyle w:val="2"/>
        <w:snapToGrid w:val="0"/>
        <w:spacing w:line="240" w:lineRule="auto"/>
        <w:ind w:firstLine="284"/>
        <w:rPr>
          <w:rFonts w:eastAsia="標楷體"/>
          <w:lang w:val="x-none"/>
        </w:rPr>
      </w:pPr>
      <w:r w:rsidRPr="004C7A0F">
        <w:rPr>
          <w:rFonts w:ascii="Times New Roman" w:eastAsia="標楷體" w:hAnsi="Times New Roman"/>
          <w:sz w:val="28"/>
        </w:rPr>
        <w:lastRenderedPageBreak/>
        <w:t>(</w:t>
      </w:r>
      <w:r>
        <w:rPr>
          <w:rFonts w:ascii="Times New Roman" w:eastAsia="標楷體" w:hAnsi="Times New Roman" w:hint="eastAsia"/>
          <w:sz w:val="28"/>
          <w:lang w:val="x-none"/>
        </w:rPr>
        <w:t>三</w:t>
      </w:r>
      <w:r w:rsidRPr="004C7A0F">
        <w:rPr>
          <w:rFonts w:ascii="Times New Roman" w:eastAsia="標楷體" w:hAnsi="Times New Roman"/>
          <w:sz w:val="28"/>
        </w:rPr>
        <w:t xml:space="preserve">) </w:t>
      </w:r>
      <w:r>
        <w:rPr>
          <w:rFonts w:ascii="Times New Roman" w:eastAsia="標楷體" w:hAnsi="Times New Roman" w:hint="eastAsia"/>
          <w:sz w:val="28"/>
          <w:lang w:val="x-none"/>
        </w:rPr>
        <w:t>性侵害防治</w:t>
      </w:r>
      <w:bookmarkEnd w:id="18"/>
    </w:p>
    <w:p w:rsidR="00E81834" w:rsidRPr="001D7100" w:rsidRDefault="00E81834" w:rsidP="00B51259">
      <w:pPr>
        <w:ind w:leftChars="354" w:left="850"/>
        <w:rPr>
          <w:rFonts w:eastAsia="標楷體"/>
          <w:b/>
        </w:rPr>
      </w:pPr>
      <w:r w:rsidRPr="001D7100">
        <w:rPr>
          <w:rFonts w:eastAsia="標楷體" w:hint="eastAsia"/>
          <w:b/>
        </w:rPr>
        <w:t>被害人及加害人性別上差距逐年縮小</w:t>
      </w:r>
    </w:p>
    <w:p w:rsidR="00E81834" w:rsidRPr="004259AC" w:rsidRDefault="00E81834" w:rsidP="007063BC">
      <w:pPr>
        <w:widowControl/>
        <w:jc w:val="center"/>
        <w:rPr>
          <w:rFonts w:ascii="標楷體" w:eastAsia="標楷體" w:hAnsi="標楷體"/>
          <w:sz w:val="28"/>
          <w:szCs w:val="28"/>
        </w:rPr>
      </w:pPr>
      <w:r w:rsidRPr="004259AC">
        <w:rPr>
          <w:rFonts w:ascii="標楷體" w:eastAsia="標楷體" w:hAnsi="標楷體" w:hint="eastAsia"/>
          <w:sz w:val="28"/>
          <w:szCs w:val="28"/>
        </w:rPr>
        <w:t>歷年</w:t>
      </w:r>
      <w:r>
        <w:rPr>
          <w:rFonts w:ascii="標楷體" w:eastAsia="標楷體" w:hAnsi="標楷體" w:hint="eastAsia"/>
          <w:sz w:val="28"/>
          <w:szCs w:val="28"/>
        </w:rPr>
        <w:t>性侵害</w:t>
      </w:r>
      <w:r w:rsidRPr="004259AC">
        <w:rPr>
          <w:rFonts w:ascii="標楷體" w:eastAsia="標楷體" w:hAnsi="標楷體" w:hint="eastAsia"/>
          <w:sz w:val="28"/>
          <w:szCs w:val="28"/>
        </w:rPr>
        <w:t>通報件數－按</w:t>
      </w:r>
      <w:r>
        <w:rPr>
          <w:rFonts w:ascii="標楷體" w:eastAsia="標楷體" w:hAnsi="標楷體" w:hint="eastAsia"/>
          <w:sz w:val="28"/>
          <w:szCs w:val="28"/>
        </w:rPr>
        <w:t>兩造關係</w:t>
      </w:r>
    </w:p>
    <w:p w:rsidR="00E81834" w:rsidRDefault="00FC131A" w:rsidP="007063BC">
      <w:pPr>
        <w:widowControl/>
        <w:jc w:val="center"/>
      </w:pPr>
      <w:r>
        <w:rPr>
          <w:noProof/>
        </w:rPr>
        <w:drawing>
          <wp:inline distT="0" distB="0" distL="0" distR="0" wp14:anchorId="52FE8325" wp14:editId="08FA0EA4">
            <wp:extent cx="5095875" cy="2743200"/>
            <wp:effectExtent l="0" t="0" r="0" b="0"/>
            <wp:docPr id="270" name="圖表 27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81834" w:rsidRPr="00F43E3D" w:rsidRDefault="00E81834" w:rsidP="006B574F">
      <w:pPr>
        <w:widowControl/>
        <w:jc w:val="center"/>
        <w:rPr>
          <w:rFonts w:ascii="標楷體" w:eastAsia="標楷體" w:hAnsi="標楷體"/>
          <w:sz w:val="28"/>
          <w:szCs w:val="28"/>
        </w:rPr>
      </w:pPr>
      <w:r w:rsidRPr="00F43E3D">
        <w:rPr>
          <w:rFonts w:ascii="標楷體" w:eastAsia="標楷體" w:hAnsi="標楷體" w:hint="eastAsia"/>
          <w:sz w:val="28"/>
          <w:szCs w:val="28"/>
        </w:rPr>
        <w:t>歷年</w:t>
      </w:r>
      <w:r>
        <w:rPr>
          <w:rFonts w:ascii="標楷體" w:eastAsia="標楷體" w:hAnsi="標楷體" w:hint="eastAsia"/>
          <w:sz w:val="28"/>
          <w:szCs w:val="28"/>
        </w:rPr>
        <w:t>性侵害</w:t>
      </w:r>
      <w:r w:rsidRPr="00F43E3D">
        <w:rPr>
          <w:rFonts w:ascii="標楷體" w:eastAsia="標楷體" w:hAnsi="標楷體" w:hint="eastAsia"/>
          <w:sz w:val="28"/>
          <w:szCs w:val="28"/>
        </w:rPr>
        <w:t>防治業務</w:t>
      </w:r>
    </w:p>
    <w:p w:rsidR="00E81834" w:rsidRDefault="00D47330" w:rsidP="007063BC">
      <w:pPr>
        <w:widowControl/>
        <w:jc w:val="center"/>
      </w:pPr>
      <w:r w:rsidRPr="00D47330">
        <w:rPr>
          <w:noProof/>
        </w:rPr>
        <w:drawing>
          <wp:inline distT="0" distB="0" distL="0" distR="0" wp14:anchorId="7C106824" wp14:editId="1C78209F">
            <wp:extent cx="6301105" cy="1663928"/>
            <wp:effectExtent l="0" t="0" r="4445" b="0"/>
            <wp:docPr id="258" name="圖片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1663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834" w:rsidRDefault="00FD40DA" w:rsidP="007063BC">
      <w:pPr>
        <w:widowControl/>
        <w:jc w:val="center"/>
      </w:pPr>
      <w:r w:rsidRPr="00FD40DA">
        <w:rPr>
          <w:noProof/>
        </w:rPr>
        <w:drawing>
          <wp:inline distT="0" distB="0" distL="0" distR="0" wp14:anchorId="47882AAF" wp14:editId="4DDA5AE2">
            <wp:extent cx="6301105" cy="886885"/>
            <wp:effectExtent l="0" t="0" r="4445" b="8890"/>
            <wp:docPr id="264" name="圖片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88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802" w:rsidRDefault="00B24802" w:rsidP="00B51259">
      <w:pPr>
        <w:widowControl/>
        <w:ind w:firstLineChars="200" w:firstLine="480"/>
        <w:jc w:val="both"/>
        <w:rPr>
          <w:rFonts w:eastAsia="標楷體"/>
        </w:rPr>
      </w:pPr>
    </w:p>
    <w:p w:rsidR="00E81834" w:rsidRPr="001E3F1A" w:rsidRDefault="00E81834" w:rsidP="00B51259">
      <w:pPr>
        <w:widowControl/>
        <w:ind w:firstLineChars="200" w:firstLine="480"/>
        <w:jc w:val="both"/>
        <w:rPr>
          <w:rFonts w:eastAsia="標楷體"/>
        </w:rPr>
      </w:pPr>
      <w:r>
        <w:rPr>
          <w:rFonts w:eastAsia="標楷體" w:hint="eastAsia"/>
        </w:rPr>
        <w:t>性侵害防治主要</w:t>
      </w:r>
      <w:r w:rsidRPr="003614B0">
        <w:rPr>
          <w:rFonts w:eastAsia="標楷體" w:hint="eastAsia"/>
        </w:rPr>
        <w:t>為防治</w:t>
      </w:r>
      <w:r>
        <w:rPr>
          <w:rFonts w:eastAsia="標楷體" w:hint="eastAsia"/>
        </w:rPr>
        <w:t>性侵害犯罪並且</w:t>
      </w:r>
      <w:r w:rsidRPr="003614B0">
        <w:rPr>
          <w:rFonts w:eastAsia="標楷體" w:hint="eastAsia"/>
        </w:rPr>
        <w:t>保護被害人權益</w:t>
      </w:r>
      <w:r>
        <w:rPr>
          <w:rFonts w:eastAsia="標楷體" w:hint="eastAsia"/>
        </w:rPr>
        <w:t>，歷年性侵害通報件數呈現增加趨勢，</w:t>
      </w:r>
      <w:r>
        <w:rPr>
          <w:rFonts w:eastAsia="標楷體"/>
        </w:rPr>
        <w:t>101</w:t>
      </w:r>
      <w:r>
        <w:rPr>
          <w:rFonts w:eastAsia="標楷體" w:hint="eastAsia"/>
        </w:rPr>
        <w:t>年共計</w:t>
      </w:r>
      <w:r>
        <w:rPr>
          <w:rFonts w:eastAsia="標楷體"/>
        </w:rPr>
        <w:t>1</w:t>
      </w:r>
      <w:r>
        <w:rPr>
          <w:rFonts w:eastAsia="標楷體" w:hint="eastAsia"/>
        </w:rPr>
        <w:t>萬</w:t>
      </w:r>
      <w:r>
        <w:rPr>
          <w:rFonts w:eastAsia="標楷體"/>
        </w:rPr>
        <w:t>5,102</w:t>
      </w:r>
      <w:r>
        <w:rPr>
          <w:rFonts w:eastAsia="標楷體" w:hint="eastAsia"/>
        </w:rPr>
        <w:t>件，較</w:t>
      </w:r>
      <w:r w:rsidR="007E2D8F">
        <w:rPr>
          <w:rFonts w:eastAsia="標楷體" w:hint="eastAsia"/>
        </w:rPr>
        <w:t>100</w:t>
      </w:r>
      <w:r>
        <w:rPr>
          <w:rFonts w:eastAsia="標楷體" w:hint="eastAsia"/>
        </w:rPr>
        <w:t>年增加</w:t>
      </w:r>
      <w:r>
        <w:rPr>
          <w:rFonts w:eastAsia="標楷體"/>
        </w:rPr>
        <w:t>1,416</w:t>
      </w:r>
      <w:r>
        <w:rPr>
          <w:rFonts w:eastAsia="標楷體" w:hint="eastAsia"/>
        </w:rPr>
        <w:t>件或</w:t>
      </w:r>
      <w:r>
        <w:rPr>
          <w:rFonts w:eastAsia="標楷體"/>
        </w:rPr>
        <w:t>10.</w:t>
      </w:r>
      <w:r w:rsidR="00FD40DA">
        <w:rPr>
          <w:rFonts w:eastAsia="標楷體" w:hint="eastAsia"/>
        </w:rPr>
        <w:t>4</w:t>
      </w:r>
      <w:r>
        <w:rPr>
          <w:rFonts w:eastAsia="標楷體"/>
        </w:rPr>
        <w:t>%</w:t>
      </w:r>
      <w:r>
        <w:rPr>
          <w:rFonts w:eastAsia="標楷體" w:hint="eastAsia"/>
        </w:rPr>
        <w:t>，其中以「</w:t>
      </w:r>
      <w:r>
        <w:rPr>
          <w:rFonts w:eastAsia="標楷體"/>
        </w:rPr>
        <w:t>(</w:t>
      </w:r>
      <w:r>
        <w:rPr>
          <w:rFonts w:eastAsia="標楷體" w:hint="eastAsia"/>
        </w:rPr>
        <w:t>前</w:t>
      </w:r>
      <w:r>
        <w:rPr>
          <w:rFonts w:eastAsia="標楷體"/>
        </w:rPr>
        <w:t>)</w:t>
      </w:r>
      <w:r>
        <w:rPr>
          <w:rFonts w:eastAsia="標楷體" w:hint="eastAsia"/>
        </w:rPr>
        <w:t>男女朋友」占</w:t>
      </w:r>
      <w:r>
        <w:rPr>
          <w:rFonts w:eastAsia="標楷體"/>
        </w:rPr>
        <w:t>26.</w:t>
      </w:r>
      <w:r w:rsidR="00FD40DA">
        <w:rPr>
          <w:rFonts w:eastAsia="標楷體" w:hint="eastAsia"/>
        </w:rPr>
        <w:t>3</w:t>
      </w:r>
      <w:r>
        <w:rPr>
          <w:rFonts w:eastAsia="標楷體"/>
        </w:rPr>
        <w:t>%</w:t>
      </w:r>
      <w:r>
        <w:rPr>
          <w:rFonts w:eastAsia="標楷體" w:hint="eastAsia"/>
        </w:rPr>
        <w:t>為最高。</w:t>
      </w:r>
    </w:p>
    <w:p w:rsidR="001D7100" w:rsidRDefault="00E81834" w:rsidP="00B51259">
      <w:pPr>
        <w:widowControl/>
        <w:ind w:firstLineChars="200" w:firstLine="480"/>
        <w:jc w:val="both"/>
        <w:rPr>
          <w:rFonts w:eastAsia="標楷體"/>
        </w:rPr>
      </w:pPr>
      <w:r w:rsidRPr="00725418">
        <w:rPr>
          <w:rFonts w:eastAsia="標楷體"/>
        </w:rPr>
        <w:t>101</w:t>
      </w:r>
      <w:r w:rsidRPr="00725418">
        <w:rPr>
          <w:rFonts w:eastAsia="標楷體" w:hint="eastAsia"/>
        </w:rPr>
        <w:t>年</w:t>
      </w:r>
      <w:r w:rsidRPr="00A44167">
        <w:rPr>
          <w:rFonts w:eastAsia="標楷體" w:hint="eastAsia"/>
        </w:rPr>
        <w:t>性侵害</w:t>
      </w:r>
      <w:r w:rsidRPr="00725418">
        <w:rPr>
          <w:rFonts w:eastAsia="標楷體" w:hint="eastAsia"/>
        </w:rPr>
        <w:t>「被害人」計</w:t>
      </w:r>
      <w:r>
        <w:rPr>
          <w:rFonts w:eastAsia="標楷體"/>
        </w:rPr>
        <w:t>1</w:t>
      </w:r>
      <w:r w:rsidRPr="00725418">
        <w:rPr>
          <w:rFonts w:eastAsia="標楷體" w:hint="eastAsia"/>
        </w:rPr>
        <w:t>萬</w:t>
      </w:r>
      <w:r>
        <w:rPr>
          <w:rFonts w:eastAsia="標楷體"/>
        </w:rPr>
        <w:t>2</w:t>
      </w:r>
      <w:r w:rsidRPr="00725418">
        <w:rPr>
          <w:rFonts w:eastAsia="標楷體"/>
        </w:rPr>
        <w:t>,</w:t>
      </w:r>
      <w:r>
        <w:rPr>
          <w:rFonts w:eastAsia="標楷體"/>
        </w:rPr>
        <w:t>066</w:t>
      </w:r>
      <w:r w:rsidRPr="00725418">
        <w:rPr>
          <w:rFonts w:eastAsia="標楷體" w:hint="eastAsia"/>
        </w:rPr>
        <w:t>人，</w:t>
      </w:r>
      <w:r w:rsidR="00B24802">
        <w:rPr>
          <w:rFonts w:eastAsia="標楷體" w:hint="eastAsia"/>
        </w:rPr>
        <w:t>以</w:t>
      </w:r>
      <w:r>
        <w:rPr>
          <w:rFonts w:eastAsia="標楷體" w:hint="eastAsia"/>
        </w:rPr>
        <w:t>女性</w:t>
      </w:r>
      <w:r w:rsidR="00B24802">
        <w:rPr>
          <w:rFonts w:eastAsia="標楷體" w:hint="eastAsia"/>
        </w:rPr>
        <w:t>占</w:t>
      </w:r>
      <w:r>
        <w:rPr>
          <w:rFonts w:eastAsia="標楷體"/>
        </w:rPr>
        <w:t>85.4%</w:t>
      </w:r>
      <w:r>
        <w:rPr>
          <w:rFonts w:eastAsia="標楷體" w:hint="eastAsia"/>
        </w:rPr>
        <w:t>為最高，男性被害人較</w:t>
      </w:r>
      <w:r w:rsidR="00EA2360">
        <w:rPr>
          <w:rFonts w:eastAsia="標楷體" w:hint="eastAsia"/>
        </w:rPr>
        <w:t>100</w:t>
      </w:r>
      <w:r>
        <w:rPr>
          <w:rFonts w:eastAsia="標楷體" w:hint="eastAsia"/>
        </w:rPr>
        <w:t>年增加</w:t>
      </w:r>
      <w:r>
        <w:rPr>
          <w:rFonts w:eastAsia="標楷體"/>
        </w:rPr>
        <w:t>1</w:t>
      </w:r>
      <w:r w:rsidR="00070258">
        <w:rPr>
          <w:rFonts w:eastAsia="標楷體" w:hint="eastAsia"/>
        </w:rPr>
        <w:t>7</w:t>
      </w:r>
      <w:r>
        <w:rPr>
          <w:rFonts w:eastAsia="標楷體"/>
        </w:rPr>
        <w:t>.</w:t>
      </w:r>
      <w:r w:rsidR="00070258">
        <w:rPr>
          <w:rFonts w:eastAsia="標楷體" w:hint="eastAsia"/>
        </w:rPr>
        <w:t>1</w:t>
      </w:r>
      <w:r>
        <w:rPr>
          <w:rFonts w:eastAsia="標楷體"/>
        </w:rPr>
        <w:t>%</w:t>
      </w:r>
      <w:r>
        <w:rPr>
          <w:rFonts w:eastAsia="標楷體" w:hint="eastAsia"/>
        </w:rPr>
        <w:t>成長最多，被害人接受保護扶助達</w:t>
      </w:r>
      <w:r>
        <w:rPr>
          <w:rFonts w:eastAsia="標楷體"/>
        </w:rPr>
        <w:t>15</w:t>
      </w:r>
      <w:r>
        <w:rPr>
          <w:rFonts w:eastAsia="標楷體" w:hint="eastAsia"/>
        </w:rPr>
        <w:t>萬</w:t>
      </w:r>
      <w:r>
        <w:rPr>
          <w:rFonts w:eastAsia="標楷體"/>
        </w:rPr>
        <w:t>8,258</w:t>
      </w:r>
      <w:r>
        <w:rPr>
          <w:rFonts w:eastAsia="標楷體" w:hint="eastAsia"/>
        </w:rPr>
        <w:t>人次，較</w:t>
      </w:r>
      <w:r w:rsidR="00EA2360">
        <w:rPr>
          <w:rFonts w:eastAsia="標楷體" w:hint="eastAsia"/>
        </w:rPr>
        <w:t>100</w:t>
      </w:r>
      <w:r>
        <w:rPr>
          <w:rFonts w:eastAsia="標楷體" w:hint="eastAsia"/>
        </w:rPr>
        <w:t>年增加</w:t>
      </w:r>
      <w:r w:rsidR="00FD40DA">
        <w:rPr>
          <w:rFonts w:eastAsia="標楷體"/>
        </w:rPr>
        <w:t>12.</w:t>
      </w:r>
      <w:r>
        <w:rPr>
          <w:rFonts w:eastAsia="標楷體"/>
        </w:rPr>
        <w:t>8%</w:t>
      </w:r>
      <w:r w:rsidR="001D7100">
        <w:rPr>
          <w:rFonts w:eastAsia="標楷體" w:hint="eastAsia"/>
        </w:rPr>
        <w:t>。以性別比觀察，被害人性別比（女</w:t>
      </w:r>
      <w:r w:rsidR="001D7100">
        <w:rPr>
          <w:rFonts w:eastAsia="標楷體"/>
        </w:rPr>
        <w:t>/</w:t>
      </w:r>
      <w:r w:rsidR="001D7100">
        <w:rPr>
          <w:rFonts w:eastAsia="標楷體" w:hint="eastAsia"/>
        </w:rPr>
        <w:t>男）倍數呈現逐年下降趨勢，</w:t>
      </w:r>
      <w:r w:rsidR="001D7100">
        <w:rPr>
          <w:rFonts w:eastAsia="標楷體"/>
        </w:rPr>
        <w:t>101</w:t>
      </w:r>
      <w:r w:rsidR="001D7100">
        <w:rPr>
          <w:rFonts w:eastAsia="標楷體" w:hint="eastAsia"/>
        </w:rPr>
        <w:t>年較</w:t>
      </w:r>
      <w:r w:rsidR="001D7100">
        <w:rPr>
          <w:rFonts w:eastAsia="標楷體"/>
        </w:rPr>
        <w:t>95</w:t>
      </w:r>
      <w:r w:rsidR="007E2D8F">
        <w:rPr>
          <w:rFonts w:eastAsia="標楷體" w:hint="eastAsia"/>
        </w:rPr>
        <w:t>年</w:t>
      </w:r>
      <w:r w:rsidR="001D7100">
        <w:rPr>
          <w:rFonts w:eastAsia="標楷體" w:hint="eastAsia"/>
        </w:rPr>
        <w:t>減少</w:t>
      </w:r>
      <w:r w:rsidR="001D7100">
        <w:rPr>
          <w:rFonts w:eastAsia="標楷體"/>
        </w:rPr>
        <w:t>14.7</w:t>
      </w:r>
      <w:r w:rsidR="001D7100">
        <w:rPr>
          <w:rFonts w:eastAsia="標楷體" w:hint="eastAsia"/>
        </w:rPr>
        <w:t>倍。</w:t>
      </w:r>
    </w:p>
    <w:p w:rsidR="00E81834" w:rsidRDefault="001D7100" w:rsidP="00B24802">
      <w:pPr>
        <w:widowControl/>
        <w:ind w:firstLineChars="200" w:firstLine="480"/>
        <w:jc w:val="both"/>
        <w:rPr>
          <w:rFonts w:eastAsia="標楷體"/>
        </w:rPr>
      </w:pPr>
      <w:r w:rsidRPr="00725418">
        <w:rPr>
          <w:rFonts w:eastAsia="標楷體"/>
        </w:rPr>
        <w:t>101</w:t>
      </w:r>
      <w:r w:rsidRPr="00725418">
        <w:rPr>
          <w:rFonts w:eastAsia="標楷體" w:hint="eastAsia"/>
        </w:rPr>
        <w:t>年</w:t>
      </w:r>
      <w:r w:rsidRPr="00A44167">
        <w:rPr>
          <w:rFonts w:eastAsia="標楷體" w:hint="eastAsia"/>
        </w:rPr>
        <w:t>性侵害</w:t>
      </w:r>
      <w:r w:rsidR="00E81834">
        <w:rPr>
          <w:rFonts w:eastAsia="標楷體" w:hint="eastAsia"/>
        </w:rPr>
        <w:t>「加害人」計</w:t>
      </w:r>
      <w:r w:rsidR="00E81834">
        <w:rPr>
          <w:rFonts w:eastAsia="標楷體"/>
        </w:rPr>
        <w:t>1</w:t>
      </w:r>
      <w:r w:rsidR="00E81834">
        <w:rPr>
          <w:rFonts w:eastAsia="標楷體" w:hint="eastAsia"/>
        </w:rPr>
        <w:t>萬</w:t>
      </w:r>
      <w:r w:rsidR="00E81834">
        <w:rPr>
          <w:rFonts w:eastAsia="標楷體"/>
        </w:rPr>
        <w:t>2,058</w:t>
      </w:r>
      <w:r w:rsidR="00E81834">
        <w:rPr>
          <w:rFonts w:eastAsia="標楷體" w:hint="eastAsia"/>
        </w:rPr>
        <w:t>人，</w:t>
      </w:r>
      <w:r w:rsidR="00B24802">
        <w:rPr>
          <w:rFonts w:eastAsia="標楷體" w:hint="eastAsia"/>
        </w:rPr>
        <w:t>以男性</w:t>
      </w:r>
      <w:r w:rsidR="00E81834">
        <w:rPr>
          <w:rFonts w:eastAsia="標楷體" w:hint="eastAsia"/>
        </w:rPr>
        <w:t>占</w:t>
      </w:r>
      <w:r w:rsidR="00E81834">
        <w:rPr>
          <w:rFonts w:eastAsia="標楷體"/>
        </w:rPr>
        <w:t>87.4%</w:t>
      </w:r>
      <w:r w:rsidR="00E81834">
        <w:rPr>
          <w:rFonts w:eastAsia="標楷體" w:hint="eastAsia"/>
        </w:rPr>
        <w:t>為最高，女性加害人較</w:t>
      </w:r>
      <w:r w:rsidR="007E2D8F">
        <w:rPr>
          <w:rFonts w:eastAsia="標楷體" w:hint="eastAsia"/>
        </w:rPr>
        <w:t>100</w:t>
      </w:r>
      <w:r w:rsidR="00E81834">
        <w:rPr>
          <w:rFonts w:eastAsia="標楷體" w:hint="eastAsia"/>
        </w:rPr>
        <w:t>年增加</w:t>
      </w:r>
      <w:r w:rsidR="00E81834">
        <w:rPr>
          <w:rFonts w:eastAsia="標楷體"/>
        </w:rPr>
        <w:t>15.5%</w:t>
      </w:r>
      <w:r w:rsidR="00E81834">
        <w:rPr>
          <w:rFonts w:eastAsia="標楷體" w:hint="eastAsia"/>
        </w:rPr>
        <w:t>成長最多。</w:t>
      </w:r>
      <w:r>
        <w:rPr>
          <w:rFonts w:eastAsia="標楷體" w:hint="eastAsia"/>
        </w:rPr>
        <w:t>以性別比觀察，</w:t>
      </w:r>
      <w:r w:rsidR="00E81834">
        <w:rPr>
          <w:rFonts w:eastAsia="標楷體" w:hint="eastAsia"/>
        </w:rPr>
        <w:t>加害人性別比</w:t>
      </w:r>
      <w:r w:rsidR="00E81834" w:rsidRPr="005B69C1">
        <w:rPr>
          <w:rFonts w:eastAsia="標楷體" w:hint="eastAsia"/>
        </w:rPr>
        <w:t>（男</w:t>
      </w:r>
      <w:r w:rsidR="00E81834" w:rsidRPr="005B69C1">
        <w:rPr>
          <w:rFonts w:eastAsia="標楷體"/>
        </w:rPr>
        <w:t>/</w:t>
      </w:r>
      <w:r w:rsidR="00E81834" w:rsidRPr="005B69C1">
        <w:rPr>
          <w:rFonts w:eastAsia="標楷體" w:hint="eastAsia"/>
        </w:rPr>
        <w:t>女）</w:t>
      </w:r>
      <w:r w:rsidR="00E81834">
        <w:rPr>
          <w:rFonts w:eastAsia="標楷體" w:hint="eastAsia"/>
        </w:rPr>
        <w:t>倍數呈現逐年下降趨勢，</w:t>
      </w:r>
      <w:r w:rsidR="00E81834">
        <w:rPr>
          <w:rFonts w:eastAsia="標楷體"/>
        </w:rPr>
        <w:t>101</w:t>
      </w:r>
      <w:r w:rsidR="00E81834">
        <w:rPr>
          <w:rFonts w:eastAsia="標楷體" w:hint="eastAsia"/>
        </w:rPr>
        <w:t>年較</w:t>
      </w:r>
      <w:r w:rsidR="00E81834">
        <w:rPr>
          <w:rFonts w:eastAsia="標楷體"/>
        </w:rPr>
        <w:t>95</w:t>
      </w:r>
      <w:r w:rsidR="007E2D8F">
        <w:rPr>
          <w:rFonts w:eastAsia="標楷體" w:hint="eastAsia"/>
        </w:rPr>
        <w:t>年</w:t>
      </w:r>
      <w:r w:rsidR="00E81834">
        <w:rPr>
          <w:rFonts w:eastAsia="標楷體" w:hint="eastAsia"/>
        </w:rPr>
        <w:t>減少</w:t>
      </w:r>
      <w:r w:rsidR="00E81834">
        <w:rPr>
          <w:rFonts w:eastAsia="標楷體"/>
        </w:rPr>
        <w:t>24.</w:t>
      </w:r>
      <w:r w:rsidR="000E552F">
        <w:rPr>
          <w:rFonts w:eastAsia="標楷體" w:hint="eastAsia"/>
        </w:rPr>
        <w:t>2</w:t>
      </w:r>
      <w:r w:rsidR="00E81834">
        <w:rPr>
          <w:rFonts w:eastAsia="標楷體" w:hint="eastAsia"/>
        </w:rPr>
        <w:t>倍。</w:t>
      </w:r>
    </w:p>
    <w:p w:rsidR="00E81834" w:rsidRDefault="00E81834" w:rsidP="00857A39">
      <w:pPr>
        <w:pStyle w:val="2"/>
        <w:snapToGrid w:val="0"/>
        <w:spacing w:line="240" w:lineRule="auto"/>
        <w:ind w:firstLine="284"/>
        <w:rPr>
          <w:rFonts w:ascii="Times New Roman" w:eastAsia="標楷體" w:hAnsi="Times New Roman"/>
          <w:sz w:val="28"/>
          <w:lang w:val="x-none"/>
        </w:rPr>
      </w:pPr>
      <w:bookmarkStart w:id="19" w:name="_Toc378767218"/>
      <w:r w:rsidRPr="004C7A0F">
        <w:rPr>
          <w:rFonts w:ascii="Times New Roman" w:eastAsia="標楷體" w:hAnsi="Times New Roman"/>
          <w:sz w:val="28"/>
        </w:rPr>
        <w:lastRenderedPageBreak/>
        <w:t>(</w:t>
      </w:r>
      <w:r>
        <w:rPr>
          <w:rFonts w:ascii="Times New Roman" w:eastAsia="標楷體" w:hAnsi="Times New Roman" w:hint="eastAsia"/>
          <w:sz w:val="28"/>
          <w:lang w:val="x-none"/>
        </w:rPr>
        <w:t>四</w:t>
      </w:r>
      <w:r w:rsidRPr="004C7A0F">
        <w:rPr>
          <w:rFonts w:ascii="Times New Roman" w:eastAsia="標楷體" w:hAnsi="Times New Roman"/>
          <w:sz w:val="28"/>
        </w:rPr>
        <w:t xml:space="preserve">) </w:t>
      </w:r>
      <w:r>
        <w:rPr>
          <w:rFonts w:ascii="Times New Roman" w:eastAsia="標楷體" w:hAnsi="Times New Roman" w:hint="eastAsia"/>
          <w:sz w:val="28"/>
          <w:lang w:val="x-none"/>
        </w:rPr>
        <w:t>性騷擾防治</w:t>
      </w:r>
      <w:bookmarkEnd w:id="16"/>
      <w:bookmarkEnd w:id="19"/>
    </w:p>
    <w:p w:rsidR="00E81834" w:rsidRPr="0025251C" w:rsidRDefault="00E81834" w:rsidP="00B51259">
      <w:pPr>
        <w:ind w:leftChars="354" w:left="850"/>
        <w:rPr>
          <w:rFonts w:eastAsia="標楷體"/>
          <w:b/>
        </w:rPr>
      </w:pPr>
      <w:r w:rsidRPr="0025251C">
        <w:rPr>
          <w:rFonts w:eastAsia="標楷體" w:hint="eastAsia"/>
          <w:b/>
        </w:rPr>
        <w:t>被害人及加害人性別上差距逐年縮小</w:t>
      </w:r>
    </w:p>
    <w:p w:rsidR="00E81834" w:rsidRPr="00282686" w:rsidRDefault="00E81834" w:rsidP="008B4804">
      <w:pPr>
        <w:widowControl/>
        <w:jc w:val="center"/>
        <w:rPr>
          <w:rFonts w:ascii="新細明體"/>
          <w:sz w:val="28"/>
          <w:szCs w:val="28"/>
        </w:rPr>
      </w:pPr>
      <w:r w:rsidRPr="004259AC">
        <w:rPr>
          <w:rFonts w:ascii="標楷體" w:eastAsia="標楷體" w:hAnsi="標楷體" w:hint="eastAsia"/>
          <w:sz w:val="28"/>
          <w:szCs w:val="28"/>
        </w:rPr>
        <w:t>歷年</w:t>
      </w:r>
      <w:r>
        <w:rPr>
          <w:rFonts w:ascii="標楷體" w:eastAsia="標楷體" w:hAnsi="標楷體" w:hint="eastAsia"/>
          <w:sz w:val="28"/>
          <w:szCs w:val="28"/>
        </w:rPr>
        <w:t>性騷擾申訴事件成立案件</w:t>
      </w:r>
      <w:r w:rsidRPr="004259AC">
        <w:rPr>
          <w:rFonts w:ascii="標楷體" w:eastAsia="標楷體" w:hAnsi="標楷體" w:hint="eastAsia"/>
          <w:sz w:val="28"/>
          <w:szCs w:val="28"/>
        </w:rPr>
        <w:t>－按</w:t>
      </w:r>
      <w:r>
        <w:rPr>
          <w:rFonts w:ascii="標楷體" w:eastAsia="標楷體" w:hAnsi="標楷體" w:hint="eastAsia"/>
          <w:sz w:val="28"/>
          <w:szCs w:val="28"/>
        </w:rPr>
        <w:t>兩造關係</w:t>
      </w:r>
    </w:p>
    <w:p w:rsidR="00E81834" w:rsidRDefault="008F0D50" w:rsidP="008B4804">
      <w:pPr>
        <w:jc w:val="center"/>
        <w:rPr>
          <w:lang w:val="x-none"/>
        </w:rPr>
      </w:pPr>
      <w:r>
        <w:rPr>
          <w:rFonts w:ascii="新細明體"/>
          <w:noProof/>
        </w:rPr>
        <w:drawing>
          <wp:inline distT="0" distB="0" distL="0" distR="0" wp14:anchorId="0FDD1BA6" wp14:editId="307A6F5F">
            <wp:extent cx="5486400" cy="2562225"/>
            <wp:effectExtent l="0" t="0" r="0" b="0"/>
            <wp:docPr id="120" name="圖表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E81834" w:rsidRPr="00F43E3D" w:rsidRDefault="00E81834" w:rsidP="008B4804">
      <w:pPr>
        <w:widowControl/>
        <w:jc w:val="center"/>
        <w:rPr>
          <w:rFonts w:ascii="標楷體" w:eastAsia="標楷體" w:hAnsi="標楷體"/>
          <w:sz w:val="28"/>
          <w:szCs w:val="28"/>
        </w:rPr>
      </w:pPr>
      <w:r w:rsidRPr="00F43E3D">
        <w:rPr>
          <w:rFonts w:ascii="標楷體" w:eastAsia="標楷體" w:hAnsi="標楷體" w:hint="eastAsia"/>
          <w:sz w:val="28"/>
          <w:szCs w:val="28"/>
        </w:rPr>
        <w:t>歷年</w:t>
      </w:r>
      <w:r>
        <w:rPr>
          <w:rFonts w:ascii="標楷體" w:eastAsia="標楷體" w:hAnsi="標楷體" w:hint="eastAsia"/>
          <w:sz w:val="28"/>
          <w:szCs w:val="28"/>
        </w:rPr>
        <w:t>性騷擾</w:t>
      </w:r>
      <w:r w:rsidRPr="00F43E3D">
        <w:rPr>
          <w:rFonts w:ascii="標楷體" w:eastAsia="標楷體" w:hAnsi="標楷體" w:hint="eastAsia"/>
          <w:sz w:val="28"/>
          <w:szCs w:val="28"/>
        </w:rPr>
        <w:t>防治業務</w:t>
      </w:r>
    </w:p>
    <w:p w:rsidR="00E81834" w:rsidRDefault="00D47330" w:rsidP="008B4804">
      <w:pPr>
        <w:jc w:val="center"/>
        <w:rPr>
          <w:lang w:val="x-none"/>
        </w:rPr>
      </w:pPr>
      <w:r w:rsidRPr="00D47330">
        <w:rPr>
          <w:noProof/>
        </w:rPr>
        <w:drawing>
          <wp:inline distT="0" distB="0" distL="0" distR="0" wp14:anchorId="640F4E99" wp14:editId="3A47418A">
            <wp:extent cx="6301105" cy="1713086"/>
            <wp:effectExtent l="0" t="0" r="4445" b="1905"/>
            <wp:docPr id="260" name="圖片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1713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834" w:rsidRDefault="00EA51E5" w:rsidP="008B4804">
      <w:pPr>
        <w:jc w:val="center"/>
        <w:rPr>
          <w:lang w:val="x-none"/>
        </w:rPr>
      </w:pPr>
      <w:r w:rsidRPr="00EA51E5">
        <w:rPr>
          <w:noProof/>
        </w:rPr>
        <w:drawing>
          <wp:inline distT="0" distB="0" distL="0" distR="0" wp14:anchorId="5AAA0B92" wp14:editId="488AC1F8">
            <wp:extent cx="6301105" cy="806471"/>
            <wp:effectExtent l="0" t="0" r="4445" b="0"/>
            <wp:docPr id="266" name="圖片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806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834" w:rsidRPr="001E3F1A" w:rsidRDefault="00E81834" w:rsidP="00B51259">
      <w:pPr>
        <w:widowControl/>
        <w:ind w:firstLineChars="200" w:firstLine="480"/>
        <w:rPr>
          <w:rFonts w:eastAsia="標楷體"/>
        </w:rPr>
      </w:pPr>
      <w:r>
        <w:rPr>
          <w:rFonts w:eastAsia="標楷體" w:hint="eastAsia"/>
        </w:rPr>
        <w:t>性騷擾防治主要</w:t>
      </w:r>
      <w:r w:rsidRPr="003614B0">
        <w:rPr>
          <w:rFonts w:eastAsia="標楷體" w:hint="eastAsia"/>
        </w:rPr>
        <w:t>為防治</w:t>
      </w:r>
      <w:r>
        <w:rPr>
          <w:rFonts w:eastAsia="標楷體" w:hint="eastAsia"/>
        </w:rPr>
        <w:t>性騷擾並且</w:t>
      </w:r>
      <w:r w:rsidRPr="003614B0">
        <w:rPr>
          <w:rFonts w:eastAsia="標楷體" w:hint="eastAsia"/>
        </w:rPr>
        <w:t>保護被害人權益</w:t>
      </w:r>
      <w:r>
        <w:rPr>
          <w:rFonts w:eastAsia="標楷體" w:hint="eastAsia"/>
        </w:rPr>
        <w:t>，</w:t>
      </w:r>
      <w:r>
        <w:rPr>
          <w:rFonts w:eastAsia="標楷體"/>
        </w:rPr>
        <w:t>101</w:t>
      </w:r>
      <w:r>
        <w:rPr>
          <w:rFonts w:eastAsia="標楷體" w:hint="eastAsia"/>
        </w:rPr>
        <w:t>年性騷擾申訴件數成立者，共計</w:t>
      </w:r>
      <w:r>
        <w:rPr>
          <w:rFonts w:eastAsia="標楷體"/>
        </w:rPr>
        <w:t>335</w:t>
      </w:r>
      <w:r>
        <w:rPr>
          <w:rFonts w:eastAsia="標楷體" w:hint="eastAsia"/>
        </w:rPr>
        <w:t>件，其中以「陌生人」占案件</w:t>
      </w:r>
      <w:r>
        <w:rPr>
          <w:rFonts w:eastAsia="標楷體"/>
        </w:rPr>
        <w:t>6</w:t>
      </w:r>
      <w:r w:rsidR="00EA51E5">
        <w:rPr>
          <w:rFonts w:eastAsia="標楷體" w:hint="eastAsia"/>
        </w:rPr>
        <w:t>6.0</w:t>
      </w:r>
      <w:r>
        <w:rPr>
          <w:rFonts w:eastAsia="標楷體"/>
        </w:rPr>
        <w:t>%</w:t>
      </w:r>
      <w:r>
        <w:rPr>
          <w:rFonts w:eastAsia="標楷體" w:hint="eastAsia"/>
        </w:rPr>
        <w:t>為最高。</w:t>
      </w:r>
    </w:p>
    <w:p w:rsidR="00E81834" w:rsidRDefault="00E81834" w:rsidP="00B51259">
      <w:pPr>
        <w:widowControl/>
        <w:ind w:firstLineChars="200" w:firstLine="480"/>
        <w:rPr>
          <w:rFonts w:eastAsia="標楷體"/>
        </w:rPr>
      </w:pPr>
      <w:r w:rsidRPr="00725418">
        <w:rPr>
          <w:rFonts w:eastAsia="標楷體"/>
        </w:rPr>
        <w:t>101</w:t>
      </w:r>
      <w:r w:rsidRPr="00725418">
        <w:rPr>
          <w:rFonts w:eastAsia="標楷體" w:hint="eastAsia"/>
        </w:rPr>
        <w:t>年</w:t>
      </w:r>
      <w:r w:rsidRPr="00A44167">
        <w:rPr>
          <w:rFonts w:eastAsia="標楷體" w:hint="eastAsia"/>
        </w:rPr>
        <w:t>性</w:t>
      </w:r>
      <w:r>
        <w:rPr>
          <w:rFonts w:eastAsia="標楷體" w:hint="eastAsia"/>
        </w:rPr>
        <w:t>騷擾申訴事件調查成立之</w:t>
      </w:r>
      <w:r w:rsidRPr="00725418">
        <w:rPr>
          <w:rFonts w:eastAsia="標楷體" w:hint="eastAsia"/>
        </w:rPr>
        <w:t>「被害人」計</w:t>
      </w:r>
      <w:r>
        <w:rPr>
          <w:rFonts w:eastAsia="標楷體"/>
        </w:rPr>
        <w:t>384</w:t>
      </w:r>
      <w:r w:rsidRPr="00725418">
        <w:rPr>
          <w:rFonts w:eastAsia="標楷體" w:hint="eastAsia"/>
        </w:rPr>
        <w:t>人，</w:t>
      </w:r>
      <w:r>
        <w:rPr>
          <w:rFonts w:eastAsia="標楷體" w:hint="eastAsia"/>
        </w:rPr>
        <w:t>其中女性被害人</w:t>
      </w:r>
      <w:r w:rsidR="00FC131A">
        <w:rPr>
          <w:rFonts w:eastAsia="標楷體" w:hint="eastAsia"/>
        </w:rPr>
        <w:t>占</w:t>
      </w:r>
      <w:r>
        <w:rPr>
          <w:rFonts w:eastAsia="標楷體"/>
        </w:rPr>
        <w:t>94.</w:t>
      </w:r>
      <w:r w:rsidR="00EA51E5">
        <w:rPr>
          <w:rFonts w:eastAsia="標楷體" w:hint="eastAsia"/>
        </w:rPr>
        <w:t>3</w:t>
      </w:r>
      <w:r>
        <w:rPr>
          <w:rFonts w:eastAsia="標楷體"/>
        </w:rPr>
        <w:t>%</w:t>
      </w:r>
      <w:r>
        <w:rPr>
          <w:rFonts w:eastAsia="標楷體" w:hint="eastAsia"/>
        </w:rPr>
        <w:t>為最高，男性被害人較</w:t>
      </w:r>
      <w:r w:rsidR="00FC131A">
        <w:rPr>
          <w:rFonts w:eastAsia="標楷體" w:hint="eastAsia"/>
        </w:rPr>
        <w:t>100</w:t>
      </w:r>
      <w:r>
        <w:rPr>
          <w:rFonts w:eastAsia="標楷體" w:hint="eastAsia"/>
        </w:rPr>
        <w:t>年增加</w:t>
      </w:r>
      <w:r>
        <w:rPr>
          <w:rFonts w:eastAsia="標楷體"/>
        </w:rPr>
        <w:t>83.3%</w:t>
      </w:r>
      <w:r>
        <w:rPr>
          <w:rFonts w:eastAsia="標楷體" w:hint="eastAsia"/>
        </w:rPr>
        <w:t>成長最多，「加害人」計</w:t>
      </w:r>
      <w:r>
        <w:rPr>
          <w:rFonts w:eastAsia="標楷體"/>
        </w:rPr>
        <w:t>358</w:t>
      </w:r>
      <w:r>
        <w:rPr>
          <w:rFonts w:eastAsia="標楷體" w:hint="eastAsia"/>
        </w:rPr>
        <w:t>人，男性加害人</w:t>
      </w:r>
      <w:r w:rsidR="00FC131A">
        <w:rPr>
          <w:rFonts w:eastAsia="標楷體" w:hint="eastAsia"/>
        </w:rPr>
        <w:t>占</w:t>
      </w:r>
      <w:r>
        <w:rPr>
          <w:rFonts w:eastAsia="標楷體"/>
        </w:rPr>
        <w:t>95.5%</w:t>
      </w:r>
      <w:r>
        <w:rPr>
          <w:rFonts w:eastAsia="標楷體" w:hint="eastAsia"/>
        </w:rPr>
        <w:t>為最高，因性騷擾事件裁罰之加害人、機關、部隊、學校、機構或僱用人為</w:t>
      </w:r>
      <w:r>
        <w:rPr>
          <w:rFonts w:eastAsia="標楷體"/>
        </w:rPr>
        <w:t>148</w:t>
      </w:r>
      <w:r>
        <w:rPr>
          <w:rFonts w:eastAsia="標楷體" w:hint="eastAsia"/>
        </w:rPr>
        <w:t>件，裁罰金額為</w:t>
      </w:r>
      <w:r>
        <w:rPr>
          <w:rFonts w:eastAsia="標楷體"/>
        </w:rPr>
        <w:t>371</w:t>
      </w:r>
      <w:r>
        <w:rPr>
          <w:rFonts w:eastAsia="標楷體" w:hint="eastAsia"/>
        </w:rPr>
        <w:t>萬元，分別較</w:t>
      </w:r>
      <w:r w:rsidR="00FC131A">
        <w:rPr>
          <w:rFonts w:eastAsia="標楷體" w:hint="eastAsia"/>
        </w:rPr>
        <w:t>100</w:t>
      </w:r>
      <w:r>
        <w:rPr>
          <w:rFonts w:eastAsia="標楷體" w:hint="eastAsia"/>
        </w:rPr>
        <w:t>年增加</w:t>
      </w:r>
      <w:r>
        <w:rPr>
          <w:rFonts w:eastAsia="標楷體"/>
        </w:rPr>
        <w:t>43.</w:t>
      </w:r>
      <w:r w:rsidR="00EA51E5">
        <w:rPr>
          <w:rFonts w:eastAsia="標楷體" w:hint="eastAsia"/>
        </w:rPr>
        <w:t>7</w:t>
      </w:r>
      <w:r>
        <w:rPr>
          <w:rFonts w:eastAsia="標楷體"/>
        </w:rPr>
        <w:t>%</w:t>
      </w:r>
      <w:r>
        <w:rPr>
          <w:rFonts w:eastAsia="標楷體" w:hint="eastAsia"/>
        </w:rPr>
        <w:t>及</w:t>
      </w:r>
      <w:r>
        <w:rPr>
          <w:rFonts w:eastAsia="標楷體"/>
        </w:rPr>
        <w:t>51.7%</w:t>
      </w:r>
      <w:r>
        <w:rPr>
          <w:rFonts w:eastAsia="標楷體" w:hint="eastAsia"/>
        </w:rPr>
        <w:t>。</w:t>
      </w:r>
    </w:p>
    <w:p w:rsidR="00E81834" w:rsidRDefault="00E81834" w:rsidP="00B51259">
      <w:pPr>
        <w:widowControl/>
        <w:ind w:firstLineChars="200" w:firstLine="480"/>
        <w:rPr>
          <w:rFonts w:eastAsia="標楷體"/>
        </w:rPr>
      </w:pPr>
      <w:r>
        <w:rPr>
          <w:rFonts w:eastAsia="標楷體" w:hint="eastAsia"/>
        </w:rPr>
        <w:t>以歷年性別比觀察，被害人性別比（女</w:t>
      </w:r>
      <w:r>
        <w:rPr>
          <w:rFonts w:eastAsia="標楷體"/>
        </w:rPr>
        <w:t>/</w:t>
      </w:r>
      <w:r>
        <w:rPr>
          <w:rFonts w:eastAsia="標楷體" w:hint="eastAsia"/>
        </w:rPr>
        <w:t>男）倍數，</w:t>
      </w:r>
      <w:r>
        <w:rPr>
          <w:rFonts w:eastAsia="標楷體"/>
        </w:rPr>
        <w:t>101</w:t>
      </w:r>
      <w:r>
        <w:rPr>
          <w:rFonts w:eastAsia="標楷體" w:hint="eastAsia"/>
        </w:rPr>
        <w:t>年較</w:t>
      </w:r>
      <w:r w:rsidR="00FC131A">
        <w:rPr>
          <w:rFonts w:eastAsia="標楷體" w:hint="eastAsia"/>
        </w:rPr>
        <w:t>100</w:t>
      </w:r>
      <w:r w:rsidR="0030207A">
        <w:rPr>
          <w:rFonts w:eastAsia="標楷體" w:hint="eastAsia"/>
        </w:rPr>
        <w:t>年</w:t>
      </w:r>
      <w:r>
        <w:rPr>
          <w:rFonts w:eastAsia="標楷體" w:hint="eastAsia"/>
        </w:rPr>
        <w:t>減少</w:t>
      </w:r>
      <w:r>
        <w:rPr>
          <w:rFonts w:eastAsia="標楷體"/>
        </w:rPr>
        <w:t>17.</w:t>
      </w:r>
      <w:r w:rsidR="000E552F">
        <w:rPr>
          <w:rFonts w:eastAsia="標楷體" w:hint="eastAsia"/>
        </w:rPr>
        <w:t>6</w:t>
      </w:r>
      <w:r>
        <w:rPr>
          <w:rFonts w:eastAsia="標楷體" w:hint="eastAsia"/>
        </w:rPr>
        <w:t>倍，較</w:t>
      </w:r>
      <w:r>
        <w:rPr>
          <w:rFonts w:eastAsia="標楷體"/>
        </w:rPr>
        <w:t>97</w:t>
      </w:r>
      <w:r>
        <w:rPr>
          <w:rFonts w:eastAsia="標楷體" w:hint="eastAsia"/>
        </w:rPr>
        <w:t>年減少</w:t>
      </w:r>
      <w:r>
        <w:rPr>
          <w:rFonts w:eastAsia="標楷體"/>
        </w:rPr>
        <w:t>35.</w:t>
      </w:r>
      <w:r w:rsidR="000E552F">
        <w:rPr>
          <w:rFonts w:eastAsia="標楷體" w:hint="eastAsia"/>
        </w:rPr>
        <w:t>9</w:t>
      </w:r>
      <w:r>
        <w:rPr>
          <w:rFonts w:eastAsia="標楷體" w:hint="eastAsia"/>
        </w:rPr>
        <w:t>倍，加害人性別比</w:t>
      </w:r>
      <w:r w:rsidRPr="005B69C1">
        <w:rPr>
          <w:rFonts w:eastAsia="標楷體" w:hint="eastAsia"/>
        </w:rPr>
        <w:t>（男</w:t>
      </w:r>
      <w:r w:rsidRPr="005B69C1">
        <w:rPr>
          <w:rFonts w:eastAsia="標楷體"/>
        </w:rPr>
        <w:t>/</w:t>
      </w:r>
      <w:r w:rsidRPr="005B69C1">
        <w:rPr>
          <w:rFonts w:eastAsia="標楷體" w:hint="eastAsia"/>
        </w:rPr>
        <w:t>女）</w:t>
      </w:r>
      <w:r>
        <w:rPr>
          <w:rFonts w:eastAsia="標楷體" w:hint="eastAsia"/>
        </w:rPr>
        <w:t>倍數，</w:t>
      </w:r>
      <w:r>
        <w:rPr>
          <w:rFonts w:eastAsia="標楷體"/>
        </w:rPr>
        <w:t>101</w:t>
      </w:r>
      <w:r>
        <w:rPr>
          <w:rFonts w:eastAsia="標楷體" w:hint="eastAsia"/>
        </w:rPr>
        <w:t>年較</w:t>
      </w:r>
      <w:r w:rsidR="00FC131A">
        <w:rPr>
          <w:rFonts w:eastAsia="標楷體" w:hint="eastAsia"/>
        </w:rPr>
        <w:t>100</w:t>
      </w:r>
      <w:r w:rsidR="0030207A">
        <w:rPr>
          <w:rFonts w:eastAsia="標楷體" w:hint="eastAsia"/>
        </w:rPr>
        <w:t>年</w:t>
      </w:r>
      <w:r>
        <w:rPr>
          <w:rFonts w:eastAsia="標楷體" w:hint="eastAsia"/>
        </w:rPr>
        <w:t>增加</w:t>
      </w:r>
      <w:r>
        <w:rPr>
          <w:rFonts w:eastAsia="標楷體"/>
        </w:rPr>
        <w:t>8.3</w:t>
      </w:r>
      <w:r>
        <w:rPr>
          <w:rFonts w:eastAsia="標楷體" w:hint="eastAsia"/>
        </w:rPr>
        <w:t>倍，較</w:t>
      </w:r>
      <w:r>
        <w:rPr>
          <w:rFonts w:eastAsia="標楷體"/>
        </w:rPr>
        <w:t>97</w:t>
      </w:r>
      <w:r>
        <w:rPr>
          <w:rFonts w:eastAsia="標楷體" w:hint="eastAsia"/>
        </w:rPr>
        <w:t>年增加</w:t>
      </w:r>
      <w:r>
        <w:rPr>
          <w:rFonts w:eastAsia="標楷體"/>
        </w:rPr>
        <w:t>6.9</w:t>
      </w:r>
      <w:r>
        <w:rPr>
          <w:rFonts w:eastAsia="標楷體" w:hint="eastAsia"/>
        </w:rPr>
        <w:t>倍。</w:t>
      </w:r>
    </w:p>
    <w:p w:rsidR="00E81834" w:rsidRDefault="00E81834" w:rsidP="00A44167">
      <w:pPr>
        <w:jc w:val="center"/>
      </w:pPr>
    </w:p>
    <w:p w:rsidR="00E81834" w:rsidRDefault="00E81834" w:rsidP="00A44167">
      <w:pPr>
        <w:jc w:val="center"/>
      </w:pPr>
    </w:p>
    <w:p w:rsidR="00E81834" w:rsidRDefault="00E81834" w:rsidP="00A44167">
      <w:pPr>
        <w:jc w:val="center"/>
      </w:pPr>
    </w:p>
    <w:p w:rsidR="00E81834" w:rsidRPr="00B74030" w:rsidRDefault="00E81834" w:rsidP="0038271A">
      <w:pPr>
        <w:pStyle w:val="22"/>
        <w:rPr>
          <w:lang w:val="x-none"/>
        </w:rPr>
      </w:pPr>
      <w:bookmarkStart w:id="20" w:name="_Toc305657212"/>
      <w:bookmarkStart w:id="21" w:name="_Toc378767219"/>
      <w:r>
        <w:rPr>
          <w:rFonts w:hint="eastAsia"/>
          <w:lang w:val="x-none"/>
        </w:rPr>
        <w:lastRenderedPageBreak/>
        <w:t>四</w:t>
      </w:r>
      <w:r w:rsidRPr="00B74030">
        <w:rPr>
          <w:rFonts w:hint="eastAsia"/>
        </w:rPr>
        <w:t>、</w:t>
      </w:r>
      <w:bookmarkEnd w:id="20"/>
      <w:r w:rsidRPr="009E519C">
        <w:rPr>
          <w:rFonts w:hint="eastAsia"/>
        </w:rPr>
        <w:t>社會保險</w:t>
      </w:r>
      <w:bookmarkEnd w:id="21"/>
    </w:p>
    <w:p w:rsidR="00E81834" w:rsidRDefault="00E81834" w:rsidP="00B757AA">
      <w:pPr>
        <w:pStyle w:val="2"/>
        <w:snapToGrid w:val="0"/>
        <w:spacing w:line="240" w:lineRule="auto"/>
        <w:ind w:firstLine="284"/>
        <w:rPr>
          <w:rFonts w:ascii="Times New Roman" w:eastAsia="標楷體" w:hAnsi="Times New Roman"/>
          <w:sz w:val="28"/>
          <w:lang w:val="x-none"/>
        </w:rPr>
      </w:pPr>
      <w:bookmarkStart w:id="22" w:name="_Toc378767220"/>
      <w:r w:rsidRPr="004C7A0F">
        <w:rPr>
          <w:rFonts w:ascii="Times New Roman" w:eastAsia="標楷體" w:hAnsi="Times New Roman"/>
          <w:sz w:val="28"/>
        </w:rPr>
        <w:t>(</w:t>
      </w:r>
      <w:r w:rsidRPr="004C7A0F">
        <w:rPr>
          <w:rFonts w:ascii="Times New Roman" w:eastAsia="標楷體" w:hAnsi="Times New Roman" w:hint="eastAsia"/>
          <w:sz w:val="28"/>
        </w:rPr>
        <w:t>一</w:t>
      </w:r>
      <w:r w:rsidRPr="004C7A0F">
        <w:rPr>
          <w:rFonts w:ascii="Times New Roman" w:eastAsia="標楷體" w:hAnsi="Times New Roman"/>
          <w:sz w:val="28"/>
        </w:rPr>
        <w:t xml:space="preserve">) </w:t>
      </w:r>
      <w:r w:rsidRPr="009E519C">
        <w:rPr>
          <w:rFonts w:ascii="Times New Roman" w:eastAsia="標楷體" w:hAnsi="Times New Roman" w:hint="eastAsia"/>
          <w:sz w:val="28"/>
        </w:rPr>
        <w:t>國民年金</w:t>
      </w:r>
      <w:r>
        <w:rPr>
          <w:rFonts w:ascii="Times New Roman" w:eastAsia="標楷體" w:hAnsi="Times New Roman" w:hint="eastAsia"/>
          <w:sz w:val="28"/>
          <w:lang w:val="x-none"/>
        </w:rPr>
        <w:t>投保人數</w:t>
      </w:r>
      <w:bookmarkEnd w:id="22"/>
    </w:p>
    <w:p w:rsidR="00E81834" w:rsidRPr="00044AA5" w:rsidRDefault="00E81834" w:rsidP="00B51259">
      <w:pPr>
        <w:ind w:leftChars="354" w:left="850"/>
        <w:rPr>
          <w:b/>
          <w:lang w:val="x-none"/>
        </w:rPr>
      </w:pPr>
      <w:r w:rsidRPr="00044AA5">
        <w:rPr>
          <w:rFonts w:eastAsia="標楷體" w:hint="eastAsia"/>
          <w:b/>
        </w:rPr>
        <w:t>國民年金被保險人人數逐年下降，主要是「一般身分」</w:t>
      </w:r>
      <w:r w:rsidR="00FC131A">
        <w:rPr>
          <w:rFonts w:eastAsia="標楷體" w:hint="eastAsia"/>
          <w:b/>
        </w:rPr>
        <w:t>轉至勞保</w:t>
      </w:r>
      <w:r w:rsidR="007E2D8F">
        <w:rPr>
          <w:rFonts w:eastAsia="標楷體" w:hint="eastAsia"/>
          <w:b/>
        </w:rPr>
        <w:t>所致</w:t>
      </w:r>
    </w:p>
    <w:p w:rsidR="00E81834" w:rsidRPr="002A35DE" w:rsidRDefault="00E81834" w:rsidP="00B757AA">
      <w:pPr>
        <w:widowControl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101</w:t>
      </w:r>
      <w:r>
        <w:rPr>
          <w:rFonts w:ascii="標楷體" w:eastAsia="標楷體" w:hAnsi="標楷體" w:hint="eastAsia"/>
          <w:sz w:val="28"/>
          <w:szCs w:val="28"/>
        </w:rPr>
        <w:t>年國民年金被保險人身分別結構圖</w:t>
      </w:r>
    </w:p>
    <w:p w:rsidR="00E81834" w:rsidRDefault="008F0D50" w:rsidP="00B757AA">
      <w:pPr>
        <w:widowControl/>
        <w:jc w:val="center"/>
      </w:pPr>
      <w:r>
        <w:rPr>
          <w:noProof/>
        </w:rPr>
        <w:drawing>
          <wp:inline distT="0" distB="0" distL="0" distR="0">
            <wp:extent cx="4572000" cy="2743200"/>
            <wp:effectExtent l="0" t="0" r="0" b="0"/>
            <wp:docPr id="117" name="圖表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E81834" w:rsidRPr="00AA3240" w:rsidRDefault="00E81834" w:rsidP="00B757AA">
      <w:pPr>
        <w:widowControl/>
        <w:jc w:val="center"/>
        <w:rPr>
          <w:rFonts w:ascii="標楷體" w:eastAsia="標楷體" w:hAnsi="標楷體"/>
          <w:sz w:val="28"/>
          <w:szCs w:val="28"/>
        </w:rPr>
      </w:pPr>
      <w:r w:rsidRPr="00AA3240">
        <w:rPr>
          <w:rFonts w:ascii="標楷體" w:eastAsia="標楷體" w:hAnsi="標楷體" w:hint="eastAsia"/>
          <w:sz w:val="28"/>
          <w:szCs w:val="28"/>
        </w:rPr>
        <w:t>歷年國民年金被保險人數</w:t>
      </w:r>
    </w:p>
    <w:p w:rsidR="00E81834" w:rsidRPr="00D47330" w:rsidRDefault="00D47330" w:rsidP="00B757AA">
      <w:pPr>
        <w:widowControl/>
      </w:pPr>
      <w:r w:rsidRPr="00D47330">
        <w:rPr>
          <w:noProof/>
        </w:rPr>
        <w:drawing>
          <wp:inline distT="0" distB="0" distL="0" distR="0" wp14:anchorId="1C4B3984" wp14:editId="0CEA3215">
            <wp:extent cx="6301105" cy="1801547"/>
            <wp:effectExtent l="0" t="0" r="4445" b="8255"/>
            <wp:docPr id="261" name="圖片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1801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834" w:rsidRDefault="00044AA5" w:rsidP="00B51259">
      <w:pPr>
        <w:widowControl/>
        <w:ind w:firstLineChars="200" w:firstLine="480"/>
        <w:rPr>
          <w:rFonts w:eastAsia="標楷體"/>
        </w:rPr>
      </w:pPr>
      <w:r>
        <w:rPr>
          <w:rFonts w:eastAsia="標楷體" w:hint="eastAsia"/>
        </w:rPr>
        <w:t>我國自</w:t>
      </w:r>
      <w:r w:rsidRPr="008A7640">
        <w:rPr>
          <w:rFonts w:eastAsia="標楷體"/>
        </w:rPr>
        <w:t>97</w:t>
      </w:r>
      <w:r w:rsidRPr="008A7640">
        <w:rPr>
          <w:rFonts w:eastAsia="標楷體" w:hint="eastAsia"/>
        </w:rPr>
        <w:t>年</w:t>
      </w:r>
      <w:r w:rsidRPr="008A7640">
        <w:rPr>
          <w:rFonts w:eastAsia="標楷體"/>
        </w:rPr>
        <w:t>10</w:t>
      </w:r>
      <w:r w:rsidRPr="008A7640">
        <w:rPr>
          <w:rFonts w:eastAsia="標楷體" w:hint="eastAsia"/>
        </w:rPr>
        <w:t>月</w:t>
      </w:r>
      <w:r w:rsidRPr="008A7640">
        <w:rPr>
          <w:rFonts w:eastAsia="標楷體"/>
        </w:rPr>
        <w:t>1</w:t>
      </w:r>
      <w:r w:rsidRPr="008A7640">
        <w:rPr>
          <w:rFonts w:eastAsia="標楷體" w:hint="eastAsia"/>
        </w:rPr>
        <w:t>日起</w:t>
      </w:r>
      <w:r>
        <w:rPr>
          <w:rFonts w:eastAsia="標楷體" w:hint="eastAsia"/>
        </w:rPr>
        <w:t>開辦國民年金，</w:t>
      </w:r>
      <w:r w:rsidR="00E81834">
        <w:rPr>
          <w:rFonts w:eastAsia="標楷體" w:hint="eastAsia"/>
        </w:rPr>
        <w:t>納保對象為</w:t>
      </w:r>
      <w:r w:rsidR="00E81834" w:rsidRPr="00C638E8">
        <w:rPr>
          <w:rFonts w:eastAsia="標楷體" w:hint="eastAsia"/>
        </w:rPr>
        <w:t>年滿</w:t>
      </w:r>
      <w:r w:rsidR="00E81834" w:rsidRPr="00C638E8">
        <w:rPr>
          <w:rFonts w:eastAsia="標楷體"/>
        </w:rPr>
        <w:t>25</w:t>
      </w:r>
      <w:r w:rsidR="00E81834" w:rsidRPr="00C638E8">
        <w:rPr>
          <w:rFonts w:eastAsia="標楷體" w:hint="eastAsia"/>
        </w:rPr>
        <w:t>歲</w:t>
      </w:r>
      <w:r w:rsidR="00E81834">
        <w:rPr>
          <w:rFonts w:eastAsia="標楷體" w:hint="eastAsia"/>
        </w:rPr>
        <w:t>至</w:t>
      </w:r>
      <w:r w:rsidR="00E81834" w:rsidRPr="00C638E8">
        <w:rPr>
          <w:rFonts w:eastAsia="標楷體" w:hint="eastAsia"/>
        </w:rPr>
        <w:t>未滿</w:t>
      </w:r>
      <w:r w:rsidR="00E81834" w:rsidRPr="00C638E8">
        <w:rPr>
          <w:rFonts w:eastAsia="標楷體"/>
        </w:rPr>
        <w:t>65</w:t>
      </w:r>
      <w:r w:rsidR="00E81834" w:rsidRPr="00C638E8">
        <w:rPr>
          <w:rFonts w:eastAsia="標楷體" w:hint="eastAsia"/>
        </w:rPr>
        <w:t>歲，且沒有參加勞保、農保、公教保、軍保的國民</w:t>
      </w:r>
      <w:r w:rsidR="00E81834">
        <w:rPr>
          <w:rFonts w:eastAsia="標楷體" w:hint="eastAsia"/>
        </w:rPr>
        <w:t>。</w:t>
      </w:r>
    </w:p>
    <w:p w:rsidR="00E81834" w:rsidRDefault="00E81834" w:rsidP="00B51259">
      <w:pPr>
        <w:widowControl/>
        <w:ind w:firstLineChars="200" w:firstLine="480"/>
        <w:jc w:val="both"/>
        <w:rPr>
          <w:rFonts w:eastAsia="標楷體"/>
        </w:rPr>
      </w:pPr>
      <w:r>
        <w:rPr>
          <w:rFonts w:eastAsia="標楷體" w:hint="eastAsia"/>
        </w:rPr>
        <w:t>至</w:t>
      </w:r>
      <w:r>
        <w:rPr>
          <w:rFonts w:eastAsia="標楷體"/>
        </w:rPr>
        <w:t>101</w:t>
      </w:r>
      <w:r>
        <w:rPr>
          <w:rFonts w:eastAsia="標楷體" w:hint="eastAsia"/>
        </w:rPr>
        <w:t>年底被保險人計</w:t>
      </w:r>
      <w:r>
        <w:rPr>
          <w:rFonts w:eastAsia="標楷體"/>
        </w:rPr>
        <w:t>372</w:t>
      </w:r>
      <w:r>
        <w:rPr>
          <w:rFonts w:eastAsia="標楷體" w:hint="eastAsia"/>
        </w:rPr>
        <w:t>萬</w:t>
      </w:r>
      <w:r>
        <w:rPr>
          <w:rFonts w:eastAsia="標楷體"/>
        </w:rPr>
        <w:t>5,626</w:t>
      </w:r>
      <w:r>
        <w:rPr>
          <w:rFonts w:eastAsia="標楷體" w:hint="eastAsia"/>
        </w:rPr>
        <w:t>人，依被保險人負擔保險費比例觀察，以「一般身分（負擔</w:t>
      </w:r>
      <w:r>
        <w:rPr>
          <w:rFonts w:eastAsia="標楷體"/>
        </w:rPr>
        <w:t>60%</w:t>
      </w:r>
      <w:r>
        <w:rPr>
          <w:rFonts w:eastAsia="標楷體" w:hint="eastAsia"/>
        </w:rPr>
        <w:t>）」</w:t>
      </w:r>
      <w:r>
        <w:rPr>
          <w:rFonts w:eastAsia="標楷體"/>
        </w:rPr>
        <w:t>322</w:t>
      </w:r>
      <w:r>
        <w:rPr>
          <w:rFonts w:eastAsia="標楷體" w:hint="eastAsia"/>
        </w:rPr>
        <w:t>萬</w:t>
      </w:r>
      <w:r>
        <w:rPr>
          <w:rFonts w:eastAsia="標楷體"/>
        </w:rPr>
        <w:t>523</w:t>
      </w:r>
      <w:r>
        <w:rPr>
          <w:rFonts w:eastAsia="標楷體" w:hint="eastAsia"/>
        </w:rPr>
        <w:t>人為最多，占全體</w:t>
      </w:r>
      <w:r>
        <w:rPr>
          <w:rFonts w:eastAsia="標楷體"/>
        </w:rPr>
        <w:t>86.4%</w:t>
      </w:r>
      <w:r>
        <w:rPr>
          <w:rFonts w:eastAsia="標楷體" w:hint="eastAsia"/>
        </w:rPr>
        <w:t>，其後依續為「身心障礙者（負擔</w:t>
      </w:r>
      <w:r>
        <w:rPr>
          <w:rFonts w:eastAsia="標楷體"/>
        </w:rPr>
        <w:t>0%~45%</w:t>
      </w:r>
      <w:r>
        <w:rPr>
          <w:rFonts w:eastAsia="標楷體" w:hint="eastAsia"/>
        </w:rPr>
        <w:t>）」、「所得未達一定標準（負擔</w:t>
      </w:r>
      <w:r>
        <w:rPr>
          <w:rFonts w:eastAsia="標楷體"/>
        </w:rPr>
        <w:t>30%~45%</w:t>
      </w:r>
      <w:r>
        <w:rPr>
          <w:rFonts w:eastAsia="標楷體" w:hint="eastAsia"/>
        </w:rPr>
        <w:t>）」及「低收入戶（負擔</w:t>
      </w:r>
      <w:r>
        <w:rPr>
          <w:rFonts w:eastAsia="標楷體"/>
        </w:rPr>
        <w:t>0%</w:t>
      </w:r>
      <w:r>
        <w:rPr>
          <w:rFonts w:eastAsia="標楷體" w:hint="eastAsia"/>
        </w:rPr>
        <w:t>）」</w:t>
      </w:r>
      <w:r w:rsidR="00FC131A">
        <w:rPr>
          <w:rFonts w:eastAsia="標楷體" w:hint="eastAsia"/>
        </w:rPr>
        <w:t>。</w:t>
      </w:r>
      <w:r w:rsidR="00A12536">
        <w:rPr>
          <w:rFonts w:eastAsia="標楷體" w:hint="eastAsia"/>
        </w:rPr>
        <w:t>按性別分析，</w:t>
      </w:r>
      <w:r>
        <w:rPr>
          <w:rFonts w:eastAsia="標楷體" w:hint="eastAsia"/>
        </w:rPr>
        <w:t>除身心障礙者男性高於女性外，其餘各類別皆女性多於男性。</w:t>
      </w:r>
    </w:p>
    <w:p w:rsidR="00E81834" w:rsidRPr="00C638E8" w:rsidRDefault="00E81834" w:rsidP="00B51259">
      <w:pPr>
        <w:widowControl/>
        <w:ind w:firstLineChars="200" w:firstLine="480"/>
        <w:jc w:val="both"/>
        <w:rPr>
          <w:rFonts w:eastAsia="標楷體"/>
        </w:rPr>
      </w:pPr>
      <w:r>
        <w:rPr>
          <w:rFonts w:eastAsia="標楷體" w:hint="eastAsia"/>
        </w:rPr>
        <w:t>國民年金被保險人人數逐年下降，</w:t>
      </w:r>
      <w:r>
        <w:rPr>
          <w:rFonts w:eastAsia="標楷體"/>
        </w:rPr>
        <w:t>101</w:t>
      </w:r>
      <w:r>
        <w:rPr>
          <w:rFonts w:eastAsia="標楷體" w:hint="eastAsia"/>
        </w:rPr>
        <w:t>年底較</w:t>
      </w:r>
      <w:r w:rsidR="00FC131A">
        <w:rPr>
          <w:rFonts w:eastAsia="標楷體" w:hint="eastAsia"/>
        </w:rPr>
        <w:t>100</w:t>
      </w:r>
      <w:r>
        <w:rPr>
          <w:rFonts w:eastAsia="標楷體" w:hint="eastAsia"/>
        </w:rPr>
        <w:t>年減少</w:t>
      </w:r>
      <w:r>
        <w:rPr>
          <w:rFonts w:eastAsia="標楷體"/>
        </w:rPr>
        <w:t>5</w:t>
      </w:r>
      <w:r>
        <w:rPr>
          <w:rFonts w:eastAsia="標楷體" w:hint="eastAsia"/>
        </w:rPr>
        <w:t>萬</w:t>
      </w:r>
      <w:r>
        <w:rPr>
          <w:rFonts w:eastAsia="標楷體"/>
        </w:rPr>
        <w:t>8,105</w:t>
      </w:r>
      <w:r>
        <w:rPr>
          <w:rFonts w:eastAsia="標楷體" w:hint="eastAsia"/>
        </w:rPr>
        <w:t>人，較</w:t>
      </w:r>
      <w:r>
        <w:rPr>
          <w:rFonts w:eastAsia="標楷體"/>
        </w:rPr>
        <w:t>97</w:t>
      </w:r>
      <w:r>
        <w:rPr>
          <w:rFonts w:eastAsia="標楷體" w:hint="eastAsia"/>
        </w:rPr>
        <w:t>年減少</w:t>
      </w:r>
      <w:r>
        <w:rPr>
          <w:rFonts w:eastAsia="標楷體"/>
        </w:rPr>
        <w:t>49</w:t>
      </w:r>
      <w:r>
        <w:rPr>
          <w:rFonts w:eastAsia="標楷體" w:hint="eastAsia"/>
        </w:rPr>
        <w:t>萬</w:t>
      </w:r>
      <w:r>
        <w:rPr>
          <w:rFonts w:eastAsia="標楷體"/>
        </w:rPr>
        <w:t>5,279</w:t>
      </w:r>
      <w:r>
        <w:rPr>
          <w:rFonts w:eastAsia="標楷體" w:hint="eastAsia"/>
        </w:rPr>
        <w:t>人，減少原因主要是「一般身分」者轉至勞保；另「低收入戶」及「所得未達一定標準」因社會救助法修正放寛最低生活費及審核門檻，使得低收入戶及中低收入戶人數增加所致。</w:t>
      </w:r>
    </w:p>
    <w:p w:rsidR="00E81834" w:rsidRPr="003F226D" w:rsidRDefault="00E81834" w:rsidP="00B757AA">
      <w:pPr>
        <w:pStyle w:val="2"/>
        <w:snapToGrid w:val="0"/>
        <w:spacing w:line="240" w:lineRule="auto"/>
        <w:ind w:firstLine="284"/>
        <w:rPr>
          <w:rFonts w:ascii="Times New Roman" w:eastAsia="標楷體" w:hAnsi="Times New Roman"/>
          <w:sz w:val="28"/>
        </w:rPr>
      </w:pPr>
      <w:r>
        <w:rPr>
          <w:rFonts w:eastAsia="標楷體"/>
          <w:sz w:val="28"/>
        </w:rPr>
        <w:br w:type="page"/>
      </w:r>
      <w:bookmarkStart w:id="23" w:name="_Toc378767221"/>
      <w:r w:rsidRPr="003F226D">
        <w:rPr>
          <w:rFonts w:ascii="Times New Roman" w:eastAsia="標楷體" w:hAnsi="Times New Roman"/>
          <w:sz w:val="28"/>
        </w:rPr>
        <w:lastRenderedPageBreak/>
        <w:t>(</w:t>
      </w:r>
      <w:r w:rsidRPr="003F226D">
        <w:rPr>
          <w:rFonts w:ascii="Times New Roman" w:eastAsia="標楷體" w:hAnsi="Times New Roman" w:hint="eastAsia"/>
          <w:sz w:val="28"/>
        </w:rPr>
        <w:t>二</w:t>
      </w:r>
      <w:r w:rsidRPr="003F226D">
        <w:rPr>
          <w:rFonts w:ascii="Times New Roman" w:eastAsia="標楷體" w:hAnsi="Times New Roman"/>
          <w:sz w:val="28"/>
        </w:rPr>
        <w:t xml:space="preserve">) </w:t>
      </w:r>
      <w:r w:rsidRPr="003F226D">
        <w:rPr>
          <w:rFonts w:ascii="Times New Roman" w:eastAsia="標楷體" w:hAnsi="Times New Roman" w:hint="eastAsia"/>
          <w:sz w:val="28"/>
        </w:rPr>
        <w:t>國民年金核付種類</w:t>
      </w:r>
      <w:bookmarkEnd w:id="23"/>
    </w:p>
    <w:p w:rsidR="00E81834" w:rsidRPr="0025251C" w:rsidRDefault="00E81834" w:rsidP="0025251C">
      <w:pPr>
        <w:widowControl/>
        <w:ind w:firstLineChars="236" w:firstLine="567"/>
        <w:rPr>
          <w:b/>
        </w:rPr>
      </w:pPr>
      <w:r w:rsidRPr="0025251C">
        <w:rPr>
          <w:rFonts w:eastAsia="標楷體" w:hint="eastAsia"/>
          <w:b/>
        </w:rPr>
        <w:t>給付種類以老人基本保證年金為</w:t>
      </w:r>
      <w:r w:rsidR="00FC131A">
        <w:rPr>
          <w:rFonts w:eastAsia="標楷體" w:hint="eastAsia"/>
          <w:b/>
        </w:rPr>
        <w:t>主</w:t>
      </w:r>
      <w:r w:rsidRPr="0025251C">
        <w:rPr>
          <w:rFonts w:eastAsia="標楷體" w:hint="eastAsia"/>
          <w:b/>
        </w:rPr>
        <w:t>，</w:t>
      </w:r>
      <w:r w:rsidR="00FC131A">
        <w:rPr>
          <w:rFonts w:eastAsia="標楷體" w:hint="eastAsia"/>
          <w:b/>
        </w:rPr>
        <w:t>惟其所占率逐</w:t>
      </w:r>
      <w:r w:rsidRPr="0025251C">
        <w:rPr>
          <w:rFonts w:eastAsia="標楷體" w:hint="eastAsia"/>
          <w:b/>
        </w:rPr>
        <w:t>年</w:t>
      </w:r>
      <w:r w:rsidR="00FC131A">
        <w:rPr>
          <w:rFonts w:eastAsia="標楷體" w:hint="eastAsia"/>
          <w:b/>
        </w:rPr>
        <w:t>下降</w:t>
      </w:r>
    </w:p>
    <w:p w:rsidR="00E81834" w:rsidRPr="00864416" w:rsidRDefault="00E81834" w:rsidP="00B757AA">
      <w:pPr>
        <w:widowControl/>
        <w:jc w:val="center"/>
        <w:rPr>
          <w:rFonts w:ascii="標楷體" w:eastAsia="標楷體" w:hAnsi="標楷體"/>
          <w:sz w:val="28"/>
          <w:szCs w:val="28"/>
        </w:rPr>
      </w:pPr>
      <w:r w:rsidRPr="00864416">
        <w:rPr>
          <w:rFonts w:ascii="標楷體" w:eastAsia="標楷體" w:hAnsi="標楷體"/>
          <w:sz w:val="28"/>
          <w:szCs w:val="28"/>
        </w:rPr>
        <w:t>101</w:t>
      </w:r>
      <w:r w:rsidRPr="00864416">
        <w:rPr>
          <w:rFonts w:ascii="標楷體" w:eastAsia="標楷體" w:hAnsi="標楷體" w:hint="eastAsia"/>
          <w:sz w:val="28"/>
          <w:szCs w:val="28"/>
        </w:rPr>
        <w:t>年國民年金給付種類</w:t>
      </w:r>
      <w:r>
        <w:rPr>
          <w:rFonts w:ascii="標楷體" w:eastAsia="標楷體" w:hAnsi="標楷體" w:hint="eastAsia"/>
          <w:sz w:val="28"/>
          <w:szCs w:val="28"/>
        </w:rPr>
        <w:t>結構圖</w:t>
      </w:r>
    </w:p>
    <w:p w:rsidR="00E81834" w:rsidRPr="00AE3F52" w:rsidRDefault="008F0D50" w:rsidP="00B757AA">
      <w:pPr>
        <w:widowControl/>
        <w:jc w:val="center"/>
        <w:rPr>
          <w:noProof/>
          <w:color w:val="FFFFFF"/>
        </w:rPr>
      </w:pPr>
      <w:r>
        <w:rPr>
          <w:noProof/>
        </w:rPr>
        <w:drawing>
          <wp:inline distT="0" distB="0" distL="0" distR="0">
            <wp:extent cx="2857500" cy="2901950"/>
            <wp:effectExtent l="0" t="0" r="0" b="0"/>
            <wp:docPr id="115" name="圖表 8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E81834" w:rsidRPr="00864416" w:rsidRDefault="00E81834" w:rsidP="00B757AA">
      <w:pPr>
        <w:widowControl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歷</w:t>
      </w:r>
      <w:r w:rsidRPr="00864416">
        <w:rPr>
          <w:rFonts w:ascii="標楷體" w:eastAsia="標楷體" w:hAnsi="標楷體" w:hint="eastAsia"/>
          <w:sz w:val="28"/>
          <w:szCs w:val="28"/>
        </w:rPr>
        <w:t>年國民年金給付種類</w:t>
      </w:r>
    </w:p>
    <w:p w:rsidR="00E81834" w:rsidRPr="00DA27FD" w:rsidRDefault="00D47330" w:rsidP="00B757AA">
      <w:pPr>
        <w:widowControl/>
        <w:jc w:val="center"/>
      </w:pPr>
      <w:r w:rsidRPr="00D47330">
        <w:rPr>
          <w:noProof/>
        </w:rPr>
        <w:drawing>
          <wp:inline distT="0" distB="0" distL="0" distR="0" wp14:anchorId="79D319D7" wp14:editId="32933721">
            <wp:extent cx="6301105" cy="1664314"/>
            <wp:effectExtent l="0" t="0" r="4445" b="0"/>
            <wp:docPr id="262" name="圖片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1664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834" w:rsidRDefault="00E81834" w:rsidP="00044AA5">
      <w:pPr>
        <w:widowControl/>
        <w:spacing w:beforeLines="100" w:before="360"/>
        <w:ind w:firstLineChars="200" w:firstLine="480"/>
        <w:rPr>
          <w:rFonts w:eastAsia="標楷體"/>
        </w:rPr>
      </w:pPr>
      <w:r>
        <w:rPr>
          <w:rFonts w:eastAsia="標楷體"/>
        </w:rPr>
        <w:t>101</w:t>
      </w:r>
      <w:r>
        <w:rPr>
          <w:rFonts w:eastAsia="標楷體" w:hint="eastAsia"/>
        </w:rPr>
        <w:t>年國民年金給付金額達</w:t>
      </w:r>
      <w:r>
        <w:rPr>
          <w:rFonts w:eastAsia="標楷體"/>
        </w:rPr>
        <w:t>532</w:t>
      </w:r>
      <w:r w:rsidR="00044AA5">
        <w:rPr>
          <w:rFonts w:eastAsia="標楷體" w:hint="eastAsia"/>
        </w:rPr>
        <w:t>.8</w:t>
      </w:r>
      <w:r>
        <w:rPr>
          <w:rFonts w:eastAsia="標楷體" w:hint="eastAsia"/>
        </w:rPr>
        <w:t>億元，給付種類以「老人基本保證年金」給付</w:t>
      </w:r>
      <w:r>
        <w:rPr>
          <w:rFonts w:eastAsia="標楷體"/>
        </w:rPr>
        <w:t>336</w:t>
      </w:r>
      <w:r w:rsidR="00044AA5">
        <w:rPr>
          <w:rFonts w:eastAsia="標楷體" w:hint="eastAsia"/>
        </w:rPr>
        <w:t>.2</w:t>
      </w:r>
      <w:r>
        <w:rPr>
          <w:rFonts w:eastAsia="標楷體" w:hint="eastAsia"/>
        </w:rPr>
        <w:t>億元元為最多，占</w:t>
      </w:r>
      <w:r>
        <w:rPr>
          <w:rFonts w:eastAsia="標楷體"/>
        </w:rPr>
        <w:t>63.1%</w:t>
      </w:r>
      <w:r>
        <w:rPr>
          <w:rFonts w:eastAsia="標楷體" w:hint="eastAsia"/>
        </w:rPr>
        <w:t>，其次為「老人年金給付」</w:t>
      </w:r>
      <w:r>
        <w:rPr>
          <w:rFonts w:eastAsia="標楷體"/>
        </w:rPr>
        <w:t>133</w:t>
      </w:r>
      <w:r w:rsidR="00044AA5">
        <w:rPr>
          <w:rFonts w:eastAsia="標楷體" w:hint="eastAsia"/>
        </w:rPr>
        <w:t>.9</w:t>
      </w:r>
      <w:r>
        <w:rPr>
          <w:rFonts w:eastAsia="標楷體" w:hint="eastAsia"/>
        </w:rPr>
        <w:t>億元，占</w:t>
      </w:r>
      <w:r>
        <w:rPr>
          <w:rFonts w:eastAsia="標楷體"/>
        </w:rPr>
        <w:t>25.1%</w:t>
      </w:r>
      <w:r>
        <w:rPr>
          <w:rFonts w:eastAsia="標楷體" w:hint="eastAsia"/>
        </w:rPr>
        <w:t>。</w:t>
      </w:r>
    </w:p>
    <w:p w:rsidR="00E81834" w:rsidRPr="00C673D8" w:rsidRDefault="00044AA5" w:rsidP="00044AA5">
      <w:pPr>
        <w:widowControl/>
        <w:spacing w:beforeLines="100" w:before="360"/>
        <w:ind w:firstLineChars="236" w:firstLine="566"/>
      </w:pPr>
      <w:r>
        <w:rPr>
          <w:rFonts w:eastAsia="標楷體" w:hint="eastAsia"/>
        </w:rPr>
        <w:t>國民年金</w:t>
      </w:r>
      <w:r w:rsidR="00E81834">
        <w:rPr>
          <w:rFonts w:eastAsia="標楷體" w:hint="eastAsia"/>
        </w:rPr>
        <w:t>給付金額逐年增加，</w:t>
      </w:r>
      <w:r w:rsidR="00E81834">
        <w:rPr>
          <w:rFonts w:eastAsia="標楷體"/>
        </w:rPr>
        <w:t>101</w:t>
      </w:r>
      <w:r w:rsidR="00E81834">
        <w:rPr>
          <w:rFonts w:eastAsia="標楷體" w:hint="eastAsia"/>
        </w:rPr>
        <w:t>年較</w:t>
      </w:r>
      <w:r w:rsidR="007E2D8F">
        <w:rPr>
          <w:rFonts w:eastAsia="標楷體" w:hint="eastAsia"/>
        </w:rPr>
        <w:t>100</w:t>
      </w:r>
      <w:r w:rsidR="00E81834">
        <w:rPr>
          <w:rFonts w:eastAsia="標楷體" w:hint="eastAsia"/>
        </w:rPr>
        <w:t>年增加</w:t>
      </w:r>
      <w:r w:rsidR="00E81834">
        <w:rPr>
          <w:rFonts w:eastAsia="標楷體"/>
        </w:rPr>
        <w:t>23.1%</w:t>
      </w:r>
      <w:r w:rsidR="00E81834">
        <w:rPr>
          <w:rFonts w:eastAsia="標楷體" w:hint="eastAsia"/>
        </w:rPr>
        <w:t>，主要在於</w:t>
      </w:r>
      <w:r w:rsidR="00E81834" w:rsidRPr="000F38E3">
        <w:rPr>
          <w:rFonts w:eastAsia="標楷體" w:hint="eastAsia"/>
        </w:rPr>
        <w:t>自</w:t>
      </w:r>
      <w:r w:rsidR="00E81834" w:rsidRPr="000F38E3">
        <w:rPr>
          <w:rFonts w:eastAsia="標楷體"/>
        </w:rPr>
        <w:t>101</w:t>
      </w:r>
      <w:r w:rsidR="00E81834" w:rsidRPr="000F38E3">
        <w:rPr>
          <w:rFonts w:eastAsia="標楷體" w:hint="eastAsia"/>
        </w:rPr>
        <w:t>年起</w:t>
      </w:r>
      <w:r w:rsidR="00A12536">
        <w:rPr>
          <w:rFonts w:eastAsia="標楷體" w:hint="eastAsia"/>
        </w:rPr>
        <w:t>給付調升所致</w:t>
      </w:r>
      <w:r w:rsidR="00E81834">
        <w:rPr>
          <w:rFonts w:eastAsia="標楷體" w:hint="eastAsia"/>
        </w:rPr>
        <w:t>，各年給付種類以「老人基本保證年金</w:t>
      </w:r>
      <w:r w:rsidR="00E81834" w:rsidRPr="009D53CB">
        <w:rPr>
          <w:rFonts w:eastAsia="標楷體" w:hint="eastAsia"/>
        </w:rPr>
        <w:t>」</w:t>
      </w:r>
      <w:r w:rsidR="00A12536">
        <w:rPr>
          <w:rFonts w:eastAsia="標楷體" w:hint="eastAsia"/>
        </w:rPr>
        <w:t>所</w:t>
      </w:r>
      <w:r w:rsidR="00E81834">
        <w:rPr>
          <w:rFonts w:eastAsia="標楷體" w:hint="eastAsia"/>
        </w:rPr>
        <w:t>占的比率為最高，由</w:t>
      </w:r>
      <w:r w:rsidR="00E81834">
        <w:rPr>
          <w:rFonts w:eastAsia="標楷體"/>
        </w:rPr>
        <w:t>97</w:t>
      </w:r>
      <w:r w:rsidR="00E81834">
        <w:rPr>
          <w:rFonts w:eastAsia="標楷體" w:hint="eastAsia"/>
        </w:rPr>
        <w:t>年</w:t>
      </w:r>
      <w:r w:rsidR="00E81834">
        <w:rPr>
          <w:rFonts w:eastAsia="標楷體"/>
        </w:rPr>
        <w:t>94.4%</w:t>
      </w:r>
      <w:r w:rsidR="00A12536">
        <w:rPr>
          <w:rFonts w:eastAsia="標楷體" w:hint="eastAsia"/>
        </w:rPr>
        <w:t>逐年</w:t>
      </w:r>
      <w:r w:rsidR="00E81834">
        <w:rPr>
          <w:rFonts w:eastAsia="標楷體" w:hint="eastAsia"/>
        </w:rPr>
        <w:t>下降至</w:t>
      </w:r>
      <w:r w:rsidR="00E81834">
        <w:rPr>
          <w:rFonts w:eastAsia="標楷體"/>
        </w:rPr>
        <w:t>101</w:t>
      </w:r>
      <w:r w:rsidR="00E81834">
        <w:rPr>
          <w:rFonts w:eastAsia="標楷體" w:hint="eastAsia"/>
        </w:rPr>
        <w:t>年</w:t>
      </w:r>
      <w:r w:rsidR="00A12536">
        <w:rPr>
          <w:rFonts w:eastAsia="標楷體" w:hint="eastAsia"/>
        </w:rPr>
        <w:t>為</w:t>
      </w:r>
      <w:r w:rsidR="00E81834">
        <w:rPr>
          <w:rFonts w:eastAsia="標楷體"/>
        </w:rPr>
        <w:t>63.1%</w:t>
      </w:r>
      <w:r w:rsidR="00E81834">
        <w:rPr>
          <w:rFonts w:eastAsia="標楷體" w:hint="eastAsia"/>
        </w:rPr>
        <w:t>，另「老年年金給付</w:t>
      </w:r>
      <w:r w:rsidR="00E81834" w:rsidRPr="009D53CB">
        <w:rPr>
          <w:rFonts w:eastAsia="標楷體" w:hint="eastAsia"/>
        </w:rPr>
        <w:t>」</w:t>
      </w:r>
      <w:r w:rsidR="00E81834">
        <w:rPr>
          <w:rFonts w:eastAsia="標楷體" w:hint="eastAsia"/>
        </w:rPr>
        <w:t>成長最快，由</w:t>
      </w:r>
      <w:r w:rsidR="00E81834">
        <w:rPr>
          <w:rFonts w:eastAsia="標楷體"/>
        </w:rPr>
        <w:t>97</w:t>
      </w:r>
      <w:r w:rsidR="00E81834">
        <w:rPr>
          <w:rFonts w:eastAsia="標楷體" w:hint="eastAsia"/>
        </w:rPr>
        <w:t>年</w:t>
      </w:r>
      <w:r w:rsidR="00E81834">
        <w:rPr>
          <w:rFonts w:eastAsia="標楷體"/>
        </w:rPr>
        <w:t>1.2%</w:t>
      </w:r>
      <w:r w:rsidR="00A12536">
        <w:rPr>
          <w:rFonts w:eastAsia="標楷體" w:hint="eastAsia"/>
        </w:rPr>
        <w:t>逐年</w:t>
      </w:r>
      <w:r w:rsidR="00E81834">
        <w:rPr>
          <w:rFonts w:eastAsia="標楷體" w:hint="eastAsia"/>
        </w:rPr>
        <w:t>上升至</w:t>
      </w:r>
      <w:r w:rsidR="00E81834">
        <w:rPr>
          <w:rFonts w:eastAsia="標楷體"/>
        </w:rPr>
        <w:t>101</w:t>
      </w:r>
      <w:r w:rsidR="00E81834">
        <w:rPr>
          <w:rFonts w:eastAsia="標楷體" w:hint="eastAsia"/>
        </w:rPr>
        <w:t>年</w:t>
      </w:r>
      <w:r w:rsidR="00E81834">
        <w:rPr>
          <w:rFonts w:eastAsia="標楷體"/>
        </w:rPr>
        <w:t>25.1%</w:t>
      </w:r>
      <w:r w:rsidR="00E81834">
        <w:rPr>
          <w:rFonts w:eastAsia="標楷體" w:hint="eastAsia"/>
        </w:rPr>
        <w:t>。</w:t>
      </w:r>
    </w:p>
    <w:p w:rsidR="00E81834" w:rsidRPr="0030207A" w:rsidRDefault="00E81834" w:rsidP="00A44167">
      <w:pPr>
        <w:jc w:val="center"/>
      </w:pPr>
    </w:p>
    <w:sectPr w:rsidR="00E81834" w:rsidRPr="0030207A" w:rsidSect="0038271A">
      <w:footerReference w:type="default" r:id="rId40"/>
      <w:pgSz w:w="11906" w:h="16838" w:code="9"/>
      <w:pgMar w:top="-128" w:right="849" w:bottom="1021" w:left="1134" w:header="227" w:footer="680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DA0" w:rsidRDefault="003B2DA0">
      <w:r>
        <w:separator/>
      </w:r>
    </w:p>
  </w:endnote>
  <w:endnote w:type="continuationSeparator" w:id="0">
    <w:p w:rsidR="003B2DA0" w:rsidRDefault="003B2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0F3" w:rsidRDefault="00ED50F3">
    <w:pPr>
      <w:pStyle w:val="a3"/>
      <w:framePr w:wrap="around" w:vAnchor="text" w:hAnchor="margin" w:xAlign="center" w:y="1"/>
      <w:rPr>
        <w:rStyle w:val="a5"/>
        <w:rFonts w:eastAsia="標楷體"/>
        <w:sz w:val="24"/>
      </w:rPr>
    </w:pPr>
    <w:r>
      <w:rPr>
        <w:rStyle w:val="a5"/>
        <w:rFonts w:eastAsia="標楷體" w:hint="eastAsia"/>
        <w:sz w:val="24"/>
      </w:rPr>
      <w:t>伍</w:t>
    </w:r>
    <w:r>
      <w:rPr>
        <w:rStyle w:val="a5"/>
        <w:rFonts w:eastAsia="標楷體"/>
        <w:sz w:val="24"/>
      </w:rPr>
      <w:t>-</w:t>
    </w:r>
    <w:r>
      <w:rPr>
        <w:rStyle w:val="a5"/>
        <w:rFonts w:eastAsia="標楷體"/>
        <w:sz w:val="24"/>
      </w:rPr>
      <w:fldChar w:fldCharType="begin"/>
    </w:r>
    <w:r>
      <w:rPr>
        <w:rStyle w:val="a5"/>
        <w:rFonts w:eastAsia="標楷體"/>
        <w:sz w:val="24"/>
      </w:rPr>
      <w:instrText xml:space="preserve">PAGE  </w:instrText>
    </w:r>
    <w:r>
      <w:rPr>
        <w:rStyle w:val="a5"/>
        <w:rFonts w:eastAsia="標楷體"/>
        <w:sz w:val="24"/>
      </w:rPr>
      <w:fldChar w:fldCharType="separate"/>
    </w:r>
    <w:r w:rsidR="0038271A">
      <w:rPr>
        <w:rStyle w:val="a5"/>
        <w:rFonts w:eastAsia="標楷體"/>
        <w:noProof/>
        <w:sz w:val="24"/>
      </w:rPr>
      <w:t>13</w:t>
    </w:r>
    <w:r>
      <w:rPr>
        <w:rStyle w:val="a5"/>
        <w:rFonts w:eastAsia="標楷體"/>
        <w:sz w:val="24"/>
      </w:rPr>
      <w:fldChar w:fldCharType="end"/>
    </w:r>
  </w:p>
  <w:p w:rsidR="00ED50F3" w:rsidRDefault="0038271A" w:rsidP="00B12EC8">
    <w:pPr>
      <w:pStyle w:val="a3"/>
      <w:jc w:val="center"/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5D8033" wp14:editId="430C0FE6">
              <wp:simplePos x="0" y="0"/>
              <wp:positionH relativeFrom="column">
                <wp:posOffset>-839470</wp:posOffset>
              </wp:positionH>
              <wp:positionV relativeFrom="paragraph">
                <wp:posOffset>-38735</wp:posOffset>
              </wp:positionV>
              <wp:extent cx="7576185" cy="10795"/>
              <wp:effectExtent l="0" t="0" r="24765" b="27305"/>
              <wp:wrapNone/>
              <wp:docPr id="2" name="直線接點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6185" cy="1079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直線接點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6.1pt,-3.05pt" to="530.45pt,-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" strokecolor="#2a99b4 [3044]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DA0" w:rsidRDefault="003B2DA0">
      <w:r>
        <w:separator/>
      </w:r>
    </w:p>
  </w:footnote>
  <w:footnote w:type="continuationSeparator" w:id="0">
    <w:p w:rsidR="003B2DA0" w:rsidRDefault="003B2D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71A" w:rsidRPr="0038271A" w:rsidRDefault="0038271A" w:rsidP="0038271A">
    <w:pPr>
      <w:pStyle w:val="a9"/>
      <w:ind w:leftChars="-177" w:left="-425"/>
      <w:rPr>
        <w:i/>
      </w:rPr>
    </w:pPr>
    <w:r w:rsidRPr="0038271A">
      <w:rPr>
        <w:b/>
        <w:i/>
        <w:noProof/>
      </w:rPr>
      <w:drawing>
        <wp:anchor distT="0" distB="0" distL="114300" distR="115824" simplePos="0" relativeHeight="251659264" behindDoc="1" locked="0" layoutInCell="1" allowOverlap="1" wp14:anchorId="4F8F47BA" wp14:editId="46BF7AE5">
          <wp:simplePos x="0" y="0"/>
          <wp:positionH relativeFrom="column">
            <wp:posOffset>-720090</wp:posOffset>
          </wp:positionH>
          <wp:positionV relativeFrom="paragraph">
            <wp:posOffset>-540385</wp:posOffset>
          </wp:positionV>
          <wp:extent cx="7826375" cy="631190"/>
          <wp:effectExtent l="0" t="0" r="3175" b="0"/>
          <wp:wrapThrough wrapText="bothSides">
            <wp:wrapPolygon edited="0">
              <wp:start x="0" y="0"/>
              <wp:lineTo x="0" y="20861"/>
              <wp:lineTo x="21556" y="20861"/>
              <wp:lineTo x="21556" y="0"/>
              <wp:lineTo x="0" y="0"/>
            </wp:wrapPolygon>
          </wp:wrapThrough>
          <wp:docPr id="27" name="圖片 7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5" name="圖片 745"/>
                  <pic:cNvPicPr/>
                </pic:nvPicPr>
                <pic:blipFill>
                  <a:blip r:embed="rId1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6375" cy="631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8271A">
      <w:rPr>
        <w:rStyle w:val="af5"/>
        <w:rFonts w:eastAsia="標楷體"/>
        <w:b/>
        <w:i w:val="0"/>
        <w:color w:val="auto"/>
        <w:sz w:val="24"/>
        <w:szCs w:val="24"/>
      </w:rPr>
      <w:t>衛生</w:t>
    </w:r>
    <w:r w:rsidRPr="0038271A">
      <w:rPr>
        <w:rStyle w:val="af5"/>
        <w:rFonts w:eastAsia="標楷體" w:hint="eastAsia"/>
        <w:b/>
        <w:i w:val="0"/>
        <w:color w:val="auto"/>
        <w:sz w:val="24"/>
        <w:szCs w:val="24"/>
      </w:rPr>
      <w:t>福利</w:t>
    </w:r>
    <w:r w:rsidRPr="0038271A">
      <w:rPr>
        <w:rStyle w:val="af5"/>
        <w:rFonts w:eastAsia="標楷體"/>
        <w:b/>
        <w:i w:val="0"/>
        <w:color w:val="auto"/>
        <w:sz w:val="24"/>
        <w:szCs w:val="24"/>
      </w:rPr>
      <w:t>統計動向</w:t>
    </w:r>
    <w:r w:rsidRPr="0038271A">
      <w:rPr>
        <w:rStyle w:val="af5"/>
        <w:rFonts w:eastAsia="標楷體"/>
        <w:b/>
        <w:i w:val="0"/>
        <w:color w:val="auto"/>
        <w:sz w:val="24"/>
        <w:szCs w:val="24"/>
      </w:rPr>
      <w:t>, 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04FCD"/>
    <w:multiLevelType w:val="hybridMultilevel"/>
    <w:tmpl w:val="E30837A2"/>
    <w:lvl w:ilvl="0" w:tplc="52168796">
      <w:start w:val="1"/>
      <w:numFmt w:val="taiwaneseCountingThousand"/>
      <w:lvlText w:val="(%1)"/>
      <w:lvlJc w:val="left"/>
      <w:pPr>
        <w:tabs>
          <w:tab w:val="num" w:pos="284"/>
        </w:tabs>
        <w:ind w:left="1048" w:hanging="764"/>
      </w:pPr>
      <w:rPr>
        <w:rFonts w:eastAsia="標楷體" w:cs="Times New Roman" w:hint="eastAsia"/>
        <w:b w:val="0"/>
        <w:i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>
    <w:nsid w:val="20685CED"/>
    <w:multiLevelType w:val="hybridMultilevel"/>
    <w:tmpl w:val="6B8AEAA4"/>
    <w:lvl w:ilvl="0" w:tplc="5D4CBC3A">
      <w:start w:val="1"/>
      <w:numFmt w:val="taiwaneseCountingThousand"/>
      <w:lvlText w:val="(%1)"/>
      <w:lvlJc w:val="left"/>
      <w:pPr>
        <w:tabs>
          <w:tab w:val="num" w:pos="1168"/>
        </w:tabs>
        <w:ind w:left="1168" w:hanging="465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25346363"/>
    <w:multiLevelType w:val="hybridMultilevel"/>
    <w:tmpl w:val="CC543846"/>
    <w:lvl w:ilvl="0" w:tplc="3496D992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cs="Times New Roman" w:hint="eastAsia"/>
        <w:color w:val="auto"/>
      </w:rPr>
    </w:lvl>
    <w:lvl w:ilvl="1" w:tplc="A3BA842A">
      <w:start w:val="1"/>
      <w:numFmt w:val="decimal"/>
      <w:lvlText w:val="%2."/>
      <w:lvlJc w:val="left"/>
      <w:pPr>
        <w:tabs>
          <w:tab w:val="num" w:pos="840"/>
        </w:tabs>
        <w:ind w:left="820" w:hanging="34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>
    <w:nsid w:val="28B56A72"/>
    <w:multiLevelType w:val="hybridMultilevel"/>
    <w:tmpl w:val="BF4C4404"/>
    <w:lvl w:ilvl="0" w:tplc="A3BA842A">
      <w:start w:val="1"/>
      <w:numFmt w:val="decimal"/>
      <w:lvlText w:val="%1."/>
      <w:lvlJc w:val="left"/>
      <w:pPr>
        <w:tabs>
          <w:tab w:val="num" w:pos="284"/>
        </w:tabs>
        <w:ind w:left="1048" w:hanging="764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">
    <w:nsid w:val="2DFA051F"/>
    <w:multiLevelType w:val="hybridMultilevel"/>
    <w:tmpl w:val="6FE07580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3F4F068B"/>
    <w:multiLevelType w:val="hybridMultilevel"/>
    <w:tmpl w:val="75E8A646"/>
    <w:lvl w:ilvl="0" w:tplc="2EAAA4BE">
      <w:start w:val="1"/>
      <w:numFmt w:val="taiwaneseCountingThousand"/>
      <w:lvlText w:val="(%1)"/>
      <w:lvlJc w:val="left"/>
      <w:pPr>
        <w:tabs>
          <w:tab w:val="num" w:pos="1185"/>
        </w:tabs>
        <w:ind w:left="1185" w:hanging="465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  <w:rPr>
        <w:rFonts w:cs="Times New Roman"/>
      </w:rPr>
    </w:lvl>
  </w:abstractNum>
  <w:abstractNum w:abstractNumId="6">
    <w:nsid w:val="52386CF8"/>
    <w:multiLevelType w:val="hybridMultilevel"/>
    <w:tmpl w:val="4B5EAE1E"/>
    <w:lvl w:ilvl="0" w:tplc="5D4CBC3A">
      <w:start w:val="1"/>
      <w:numFmt w:val="taiwaneseCountingThousand"/>
      <w:lvlText w:val="(%1)"/>
      <w:lvlJc w:val="left"/>
      <w:pPr>
        <w:tabs>
          <w:tab w:val="num" w:pos="1168"/>
        </w:tabs>
        <w:ind w:left="1168" w:hanging="465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>
    <w:nsid w:val="6ACD7B31"/>
    <w:multiLevelType w:val="hybridMultilevel"/>
    <w:tmpl w:val="7CDEC056"/>
    <w:lvl w:ilvl="0" w:tplc="5D4CBC3A">
      <w:start w:val="1"/>
      <w:numFmt w:val="taiwaneseCountingThousand"/>
      <w:lvlText w:val="(%1)"/>
      <w:lvlJc w:val="left"/>
      <w:pPr>
        <w:tabs>
          <w:tab w:val="num" w:pos="1168"/>
        </w:tabs>
        <w:ind w:left="1168" w:hanging="465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63"/>
        </w:tabs>
        <w:ind w:left="1663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43"/>
        </w:tabs>
        <w:ind w:left="2143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23"/>
        </w:tabs>
        <w:ind w:left="2623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03"/>
        </w:tabs>
        <w:ind w:left="3103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583"/>
        </w:tabs>
        <w:ind w:left="3583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063"/>
        </w:tabs>
        <w:ind w:left="406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43"/>
        </w:tabs>
        <w:ind w:left="454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023"/>
        </w:tabs>
        <w:ind w:left="5023" w:hanging="480"/>
      </w:pPr>
      <w:rPr>
        <w:rFonts w:cs="Times New Roman"/>
      </w:rPr>
    </w:lvl>
  </w:abstractNum>
  <w:abstractNum w:abstractNumId="8">
    <w:nsid w:val="712A2793"/>
    <w:multiLevelType w:val="hybridMultilevel"/>
    <w:tmpl w:val="24BC86B2"/>
    <w:lvl w:ilvl="0" w:tplc="31DE783C">
      <w:start w:val="1"/>
      <w:numFmt w:val="taiwaneseCountingThousand"/>
      <w:lvlText w:val="(%1)"/>
      <w:lvlJc w:val="left"/>
      <w:pPr>
        <w:tabs>
          <w:tab w:val="num" w:pos="1423"/>
        </w:tabs>
        <w:ind w:left="1423" w:hanging="465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18"/>
        </w:tabs>
        <w:ind w:left="191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98"/>
        </w:tabs>
        <w:ind w:left="239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78"/>
        </w:tabs>
        <w:ind w:left="287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58"/>
        </w:tabs>
        <w:ind w:left="335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838"/>
        </w:tabs>
        <w:ind w:left="383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18"/>
        </w:tabs>
        <w:ind w:left="431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98"/>
        </w:tabs>
        <w:ind w:left="479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78"/>
        </w:tabs>
        <w:ind w:left="5278" w:hanging="4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14D"/>
    <w:rsid w:val="00005E95"/>
    <w:rsid w:val="00010873"/>
    <w:rsid w:val="00010B33"/>
    <w:rsid w:val="000110BE"/>
    <w:rsid w:val="000135DC"/>
    <w:rsid w:val="0001408C"/>
    <w:rsid w:val="00020E5C"/>
    <w:rsid w:val="0002433B"/>
    <w:rsid w:val="00025CCF"/>
    <w:rsid w:val="00025FBA"/>
    <w:rsid w:val="00027894"/>
    <w:rsid w:val="0003482B"/>
    <w:rsid w:val="0003537D"/>
    <w:rsid w:val="000354CE"/>
    <w:rsid w:val="00035A4A"/>
    <w:rsid w:val="00040024"/>
    <w:rsid w:val="00042BF2"/>
    <w:rsid w:val="000448EB"/>
    <w:rsid w:val="00044AA5"/>
    <w:rsid w:val="00045C6D"/>
    <w:rsid w:val="00047760"/>
    <w:rsid w:val="00047DDE"/>
    <w:rsid w:val="00051289"/>
    <w:rsid w:val="00053D49"/>
    <w:rsid w:val="00054165"/>
    <w:rsid w:val="00057350"/>
    <w:rsid w:val="000603C0"/>
    <w:rsid w:val="00061427"/>
    <w:rsid w:val="00061470"/>
    <w:rsid w:val="00061CBD"/>
    <w:rsid w:val="00067698"/>
    <w:rsid w:val="00070258"/>
    <w:rsid w:val="0007127F"/>
    <w:rsid w:val="00076C14"/>
    <w:rsid w:val="00076DC7"/>
    <w:rsid w:val="00077D63"/>
    <w:rsid w:val="0008075D"/>
    <w:rsid w:val="0008370B"/>
    <w:rsid w:val="00093F37"/>
    <w:rsid w:val="0009503B"/>
    <w:rsid w:val="0009583A"/>
    <w:rsid w:val="000A1970"/>
    <w:rsid w:val="000A3B20"/>
    <w:rsid w:val="000B39CB"/>
    <w:rsid w:val="000B4B91"/>
    <w:rsid w:val="000B5B6F"/>
    <w:rsid w:val="000B6CE3"/>
    <w:rsid w:val="000C040C"/>
    <w:rsid w:val="000C0AAA"/>
    <w:rsid w:val="000C0B2E"/>
    <w:rsid w:val="000C4004"/>
    <w:rsid w:val="000C66CF"/>
    <w:rsid w:val="000C683D"/>
    <w:rsid w:val="000D0166"/>
    <w:rsid w:val="000D3590"/>
    <w:rsid w:val="000D35B4"/>
    <w:rsid w:val="000D45FB"/>
    <w:rsid w:val="000D4AB0"/>
    <w:rsid w:val="000D5A12"/>
    <w:rsid w:val="000E0837"/>
    <w:rsid w:val="000E087E"/>
    <w:rsid w:val="000E2711"/>
    <w:rsid w:val="000E4808"/>
    <w:rsid w:val="000E552F"/>
    <w:rsid w:val="000E661D"/>
    <w:rsid w:val="000F0604"/>
    <w:rsid w:val="000F0C1E"/>
    <w:rsid w:val="000F2D13"/>
    <w:rsid w:val="000F38E3"/>
    <w:rsid w:val="000F3C7F"/>
    <w:rsid w:val="000F48AF"/>
    <w:rsid w:val="00104BD3"/>
    <w:rsid w:val="001103A6"/>
    <w:rsid w:val="001120D1"/>
    <w:rsid w:val="00113D52"/>
    <w:rsid w:val="00116568"/>
    <w:rsid w:val="001207FA"/>
    <w:rsid w:val="001214A6"/>
    <w:rsid w:val="001218CB"/>
    <w:rsid w:val="0012565B"/>
    <w:rsid w:val="00131B12"/>
    <w:rsid w:val="00132B46"/>
    <w:rsid w:val="00132C89"/>
    <w:rsid w:val="001337D2"/>
    <w:rsid w:val="00134F03"/>
    <w:rsid w:val="00135C33"/>
    <w:rsid w:val="00136398"/>
    <w:rsid w:val="001366F0"/>
    <w:rsid w:val="00136DB3"/>
    <w:rsid w:val="00141D99"/>
    <w:rsid w:val="001420A0"/>
    <w:rsid w:val="00143384"/>
    <w:rsid w:val="00144499"/>
    <w:rsid w:val="00146188"/>
    <w:rsid w:val="001461A7"/>
    <w:rsid w:val="001478CA"/>
    <w:rsid w:val="001505E6"/>
    <w:rsid w:val="00152D1D"/>
    <w:rsid w:val="00152FAC"/>
    <w:rsid w:val="00153CE3"/>
    <w:rsid w:val="0015736F"/>
    <w:rsid w:val="00157B6C"/>
    <w:rsid w:val="00166529"/>
    <w:rsid w:val="00167B58"/>
    <w:rsid w:val="00172567"/>
    <w:rsid w:val="0017545A"/>
    <w:rsid w:val="00180943"/>
    <w:rsid w:val="00184BF1"/>
    <w:rsid w:val="00187885"/>
    <w:rsid w:val="00191147"/>
    <w:rsid w:val="00191B13"/>
    <w:rsid w:val="00193D5D"/>
    <w:rsid w:val="001954DB"/>
    <w:rsid w:val="001A6171"/>
    <w:rsid w:val="001B0E28"/>
    <w:rsid w:val="001B54CC"/>
    <w:rsid w:val="001C0471"/>
    <w:rsid w:val="001C08C8"/>
    <w:rsid w:val="001C2DB4"/>
    <w:rsid w:val="001C2E29"/>
    <w:rsid w:val="001C3071"/>
    <w:rsid w:val="001D1E94"/>
    <w:rsid w:val="001D2DFD"/>
    <w:rsid w:val="001D5F7A"/>
    <w:rsid w:val="001D7100"/>
    <w:rsid w:val="001E0375"/>
    <w:rsid w:val="001E1D05"/>
    <w:rsid w:val="001E23C8"/>
    <w:rsid w:val="001E281F"/>
    <w:rsid w:val="001E3267"/>
    <w:rsid w:val="001E3F1A"/>
    <w:rsid w:val="001E420B"/>
    <w:rsid w:val="001F0C2B"/>
    <w:rsid w:val="001F1AA7"/>
    <w:rsid w:val="001F3495"/>
    <w:rsid w:val="00200A03"/>
    <w:rsid w:val="0020294C"/>
    <w:rsid w:val="00205295"/>
    <w:rsid w:val="0020709E"/>
    <w:rsid w:val="00210565"/>
    <w:rsid w:val="00210ACF"/>
    <w:rsid w:val="00214553"/>
    <w:rsid w:val="002159CE"/>
    <w:rsid w:val="002207DC"/>
    <w:rsid w:val="00221BBC"/>
    <w:rsid w:val="002239B1"/>
    <w:rsid w:val="002279C6"/>
    <w:rsid w:val="00230A80"/>
    <w:rsid w:val="00230EB7"/>
    <w:rsid w:val="00232779"/>
    <w:rsid w:val="002327FB"/>
    <w:rsid w:val="00234149"/>
    <w:rsid w:val="00234F54"/>
    <w:rsid w:val="002363EF"/>
    <w:rsid w:val="00241729"/>
    <w:rsid w:val="00242D04"/>
    <w:rsid w:val="00250B09"/>
    <w:rsid w:val="0025251C"/>
    <w:rsid w:val="00257F1A"/>
    <w:rsid w:val="00266CF1"/>
    <w:rsid w:val="0027276F"/>
    <w:rsid w:val="00274477"/>
    <w:rsid w:val="002802E2"/>
    <w:rsid w:val="00280AF8"/>
    <w:rsid w:val="00282686"/>
    <w:rsid w:val="0028455F"/>
    <w:rsid w:val="00284844"/>
    <w:rsid w:val="00290215"/>
    <w:rsid w:val="002903C6"/>
    <w:rsid w:val="00290BD0"/>
    <w:rsid w:val="002920CB"/>
    <w:rsid w:val="00294931"/>
    <w:rsid w:val="00294BEF"/>
    <w:rsid w:val="002960C9"/>
    <w:rsid w:val="002962B4"/>
    <w:rsid w:val="002A10AF"/>
    <w:rsid w:val="002A3444"/>
    <w:rsid w:val="002A35DE"/>
    <w:rsid w:val="002A66D2"/>
    <w:rsid w:val="002B28D8"/>
    <w:rsid w:val="002B2DFC"/>
    <w:rsid w:val="002B6015"/>
    <w:rsid w:val="002B6C47"/>
    <w:rsid w:val="002B7031"/>
    <w:rsid w:val="002C0F06"/>
    <w:rsid w:val="002C1F0E"/>
    <w:rsid w:val="002C2336"/>
    <w:rsid w:val="002C28DC"/>
    <w:rsid w:val="002C2BF0"/>
    <w:rsid w:val="002C398A"/>
    <w:rsid w:val="002C4B48"/>
    <w:rsid w:val="002C577F"/>
    <w:rsid w:val="002C6038"/>
    <w:rsid w:val="002D39DD"/>
    <w:rsid w:val="002D76BA"/>
    <w:rsid w:val="002E3DD9"/>
    <w:rsid w:val="002E4CA8"/>
    <w:rsid w:val="002E6D4D"/>
    <w:rsid w:val="002F10A1"/>
    <w:rsid w:val="002F4D98"/>
    <w:rsid w:val="00300A96"/>
    <w:rsid w:val="00300AE9"/>
    <w:rsid w:val="00301A29"/>
    <w:rsid w:val="0030207A"/>
    <w:rsid w:val="0030433C"/>
    <w:rsid w:val="00304E65"/>
    <w:rsid w:val="00305093"/>
    <w:rsid w:val="00305189"/>
    <w:rsid w:val="00310E72"/>
    <w:rsid w:val="00312021"/>
    <w:rsid w:val="00312706"/>
    <w:rsid w:val="00312A6E"/>
    <w:rsid w:val="00313A04"/>
    <w:rsid w:val="00317A0B"/>
    <w:rsid w:val="00326587"/>
    <w:rsid w:val="00331B90"/>
    <w:rsid w:val="003337E6"/>
    <w:rsid w:val="00334311"/>
    <w:rsid w:val="00335A8A"/>
    <w:rsid w:val="00336A2C"/>
    <w:rsid w:val="00342296"/>
    <w:rsid w:val="00342707"/>
    <w:rsid w:val="00342FD0"/>
    <w:rsid w:val="0034720F"/>
    <w:rsid w:val="00347E03"/>
    <w:rsid w:val="00350614"/>
    <w:rsid w:val="0035123F"/>
    <w:rsid w:val="00351459"/>
    <w:rsid w:val="00351821"/>
    <w:rsid w:val="00352836"/>
    <w:rsid w:val="003545CD"/>
    <w:rsid w:val="003614B0"/>
    <w:rsid w:val="00364244"/>
    <w:rsid w:val="0036429F"/>
    <w:rsid w:val="00364D24"/>
    <w:rsid w:val="00372262"/>
    <w:rsid w:val="003726D5"/>
    <w:rsid w:val="00372C68"/>
    <w:rsid w:val="00372D72"/>
    <w:rsid w:val="0037550B"/>
    <w:rsid w:val="00376517"/>
    <w:rsid w:val="00381DB3"/>
    <w:rsid w:val="0038271A"/>
    <w:rsid w:val="00382AA6"/>
    <w:rsid w:val="00383F23"/>
    <w:rsid w:val="003860F9"/>
    <w:rsid w:val="00387C52"/>
    <w:rsid w:val="00392153"/>
    <w:rsid w:val="00392E3A"/>
    <w:rsid w:val="00393B7D"/>
    <w:rsid w:val="00396FD0"/>
    <w:rsid w:val="00397B21"/>
    <w:rsid w:val="00397F53"/>
    <w:rsid w:val="003A132F"/>
    <w:rsid w:val="003A3BCD"/>
    <w:rsid w:val="003A5EE8"/>
    <w:rsid w:val="003B0AF7"/>
    <w:rsid w:val="003B1045"/>
    <w:rsid w:val="003B13BD"/>
    <w:rsid w:val="003B29D1"/>
    <w:rsid w:val="003B2DA0"/>
    <w:rsid w:val="003B2E6E"/>
    <w:rsid w:val="003B311D"/>
    <w:rsid w:val="003B348B"/>
    <w:rsid w:val="003B3723"/>
    <w:rsid w:val="003B3DF7"/>
    <w:rsid w:val="003B3EA1"/>
    <w:rsid w:val="003C0783"/>
    <w:rsid w:val="003C1C7C"/>
    <w:rsid w:val="003C3D4E"/>
    <w:rsid w:val="003C3D79"/>
    <w:rsid w:val="003C62E4"/>
    <w:rsid w:val="003C6867"/>
    <w:rsid w:val="003C6D2D"/>
    <w:rsid w:val="003C7AD3"/>
    <w:rsid w:val="003D00EF"/>
    <w:rsid w:val="003D4801"/>
    <w:rsid w:val="003E3375"/>
    <w:rsid w:val="003E74F6"/>
    <w:rsid w:val="003F01C9"/>
    <w:rsid w:val="003F226D"/>
    <w:rsid w:val="003F756C"/>
    <w:rsid w:val="004003C8"/>
    <w:rsid w:val="0040054A"/>
    <w:rsid w:val="00404279"/>
    <w:rsid w:val="00406B3A"/>
    <w:rsid w:val="00406C55"/>
    <w:rsid w:val="004134ED"/>
    <w:rsid w:val="00413BDF"/>
    <w:rsid w:val="00413C35"/>
    <w:rsid w:val="00415490"/>
    <w:rsid w:val="0041560E"/>
    <w:rsid w:val="00415F0C"/>
    <w:rsid w:val="00420672"/>
    <w:rsid w:val="004220BD"/>
    <w:rsid w:val="004259AC"/>
    <w:rsid w:val="00427660"/>
    <w:rsid w:val="0042785A"/>
    <w:rsid w:val="00427FB0"/>
    <w:rsid w:val="00427FB1"/>
    <w:rsid w:val="004334BC"/>
    <w:rsid w:val="00434024"/>
    <w:rsid w:val="00437F99"/>
    <w:rsid w:val="00440845"/>
    <w:rsid w:val="004409D1"/>
    <w:rsid w:val="00443B0B"/>
    <w:rsid w:val="004461F0"/>
    <w:rsid w:val="00450E07"/>
    <w:rsid w:val="0045297B"/>
    <w:rsid w:val="00455858"/>
    <w:rsid w:val="004610BC"/>
    <w:rsid w:val="004637C2"/>
    <w:rsid w:val="00465C60"/>
    <w:rsid w:val="004674F1"/>
    <w:rsid w:val="00472A33"/>
    <w:rsid w:val="0048035A"/>
    <w:rsid w:val="00481DE5"/>
    <w:rsid w:val="00493BA4"/>
    <w:rsid w:val="004961C4"/>
    <w:rsid w:val="004A0CF9"/>
    <w:rsid w:val="004A0D22"/>
    <w:rsid w:val="004A41D8"/>
    <w:rsid w:val="004A6A25"/>
    <w:rsid w:val="004B132A"/>
    <w:rsid w:val="004B437E"/>
    <w:rsid w:val="004B467D"/>
    <w:rsid w:val="004C0F64"/>
    <w:rsid w:val="004C25CA"/>
    <w:rsid w:val="004C29FF"/>
    <w:rsid w:val="004C3B10"/>
    <w:rsid w:val="004C4A6E"/>
    <w:rsid w:val="004C5611"/>
    <w:rsid w:val="004C57B0"/>
    <w:rsid w:val="004C7A0F"/>
    <w:rsid w:val="004D0486"/>
    <w:rsid w:val="004D1C47"/>
    <w:rsid w:val="004D218A"/>
    <w:rsid w:val="004D34F7"/>
    <w:rsid w:val="004D4EFC"/>
    <w:rsid w:val="004D5034"/>
    <w:rsid w:val="004D5CF7"/>
    <w:rsid w:val="004D64BB"/>
    <w:rsid w:val="004D793D"/>
    <w:rsid w:val="004D7E67"/>
    <w:rsid w:val="004E0078"/>
    <w:rsid w:val="004E1432"/>
    <w:rsid w:val="004E42B0"/>
    <w:rsid w:val="004E6BE0"/>
    <w:rsid w:val="004E6C41"/>
    <w:rsid w:val="004F3370"/>
    <w:rsid w:val="004F71DF"/>
    <w:rsid w:val="00500113"/>
    <w:rsid w:val="00504006"/>
    <w:rsid w:val="0051011A"/>
    <w:rsid w:val="0051021E"/>
    <w:rsid w:val="005148BE"/>
    <w:rsid w:val="00522A54"/>
    <w:rsid w:val="00523E50"/>
    <w:rsid w:val="00524F06"/>
    <w:rsid w:val="00532FB5"/>
    <w:rsid w:val="005347C6"/>
    <w:rsid w:val="0054140D"/>
    <w:rsid w:val="00542939"/>
    <w:rsid w:val="005457F3"/>
    <w:rsid w:val="005500AB"/>
    <w:rsid w:val="00550B6B"/>
    <w:rsid w:val="00550CCB"/>
    <w:rsid w:val="00557B37"/>
    <w:rsid w:val="00560ABC"/>
    <w:rsid w:val="0056241B"/>
    <w:rsid w:val="005627D6"/>
    <w:rsid w:val="00562976"/>
    <w:rsid w:val="0056299B"/>
    <w:rsid w:val="00562BD8"/>
    <w:rsid w:val="00565D33"/>
    <w:rsid w:val="00575961"/>
    <w:rsid w:val="00577005"/>
    <w:rsid w:val="00577D7B"/>
    <w:rsid w:val="00581F71"/>
    <w:rsid w:val="00582C21"/>
    <w:rsid w:val="00583E07"/>
    <w:rsid w:val="005907EB"/>
    <w:rsid w:val="005915E2"/>
    <w:rsid w:val="005924D9"/>
    <w:rsid w:val="00595E2E"/>
    <w:rsid w:val="00596CDF"/>
    <w:rsid w:val="005A087B"/>
    <w:rsid w:val="005A0FA3"/>
    <w:rsid w:val="005A2B6B"/>
    <w:rsid w:val="005B1E59"/>
    <w:rsid w:val="005B227E"/>
    <w:rsid w:val="005B4052"/>
    <w:rsid w:val="005B43F7"/>
    <w:rsid w:val="005B69C1"/>
    <w:rsid w:val="005B7EAA"/>
    <w:rsid w:val="005C0D14"/>
    <w:rsid w:val="005C0DFC"/>
    <w:rsid w:val="005C15A8"/>
    <w:rsid w:val="005C214D"/>
    <w:rsid w:val="005C3F5B"/>
    <w:rsid w:val="005C5A2D"/>
    <w:rsid w:val="005E3A4E"/>
    <w:rsid w:val="005E5B9F"/>
    <w:rsid w:val="005F3865"/>
    <w:rsid w:val="005F4616"/>
    <w:rsid w:val="005F4B0A"/>
    <w:rsid w:val="005F520D"/>
    <w:rsid w:val="005F67CE"/>
    <w:rsid w:val="0060003B"/>
    <w:rsid w:val="00600634"/>
    <w:rsid w:val="006007F7"/>
    <w:rsid w:val="006044B5"/>
    <w:rsid w:val="0060714E"/>
    <w:rsid w:val="00607AF6"/>
    <w:rsid w:val="00611216"/>
    <w:rsid w:val="00615AC6"/>
    <w:rsid w:val="00616371"/>
    <w:rsid w:val="00617C44"/>
    <w:rsid w:val="00623A84"/>
    <w:rsid w:val="00624104"/>
    <w:rsid w:val="006301EF"/>
    <w:rsid w:val="0063131D"/>
    <w:rsid w:val="00633C97"/>
    <w:rsid w:val="00635B1D"/>
    <w:rsid w:val="0064089B"/>
    <w:rsid w:val="00641C47"/>
    <w:rsid w:val="00641E60"/>
    <w:rsid w:val="0064335C"/>
    <w:rsid w:val="00647180"/>
    <w:rsid w:val="00651378"/>
    <w:rsid w:val="00653F15"/>
    <w:rsid w:val="00657F14"/>
    <w:rsid w:val="00660998"/>
    <w:rsid w:val="00660FFA"/>
    <w:rsid w:val="00662C84"/>
    <w:rsid w:val="00667312"/>
    <w:rsid w:val="00670082"/>
    <w:rsid w:val="0067229A"/>
    <w:rsid w:val="006757C6"/>
    <w:rsid w:val="00675FBA"/>
    <w:rsid w:val="00675FE8"/>
    <w:rsid w:val="006779E2"/>
    <w:rsid w:val="00681486"/>
    <w:rsid w:val="0068572F"/>
    <w:rsid w:val="00685D8E"/>
    <w:rsid w:val="006917FE"/>
    <w:rsid w:val="006A2F29"/>
    <w:rsid w:val="006A4772"/>
    <w:rsid w:val="006A5DFC"/>
    <w:rsid w:val="006A68CD"/>
    <w:rsid w:val="006B0645"/>
    <w:rsid w:val="006B06AD"/>
    <w:rsid w:val="006B44A1"/>
    <w:rsid w:val="006B4BF2"/>
    <w:rsid w:val="006B574F"/>
    <w:rsid w:val="006C02B3"/>
    <w:rsid w:val="006C1FC0"/>
    <w:rsid w:val="006C2F68"/>
    <w:rsid w:val="006C4D85"/>
    <w:rsid w:val="006C673A"/>
    <w:rsid w:val="006C7B16"/>
    <w:rsid w:val="006D2B2D"/>
    <w:rsid w:val="006D49AF"/>
    <w:rsid w:val="006D5E67"/>
    <w:rsid w:val="006D690C"/>
    <w:rsid w:val="006E1B7B"/>
    <w:rsid w:val="006E2B84"/>
    <w:rsid w:val="006E4186"/>
    <w:rsid w:val="006E5ABE"/>
    <w:rsid w:val="006E71E2"/>
    <w:rsid w:val="006E7457"/>
    <w:rsid w:val="006E79F1"/>
    <w:rsid w:val="006F034C"/>
    <w:rsid w:val="0070061F"/>
    <w:rsid w:val="00701E4B"/>
    <w:rsid w:val="00703937"/>
    <w:rsid w:val="00705B0C"/>
    <w:rsid w:val="007063BC"/>
    <w:rsid w:val="00710852"/>
    <w:rsid w:val="007153CF"/>
    <w:rsid w:val="00716446"/>
    <w:rsid w:val="007207E4"/>
    <w:rsid w:val="007224F2"/>
    <w:rsid w:val="00723A19"/>
    <w:rsid w:val="0072418C"/>
    <w:rsid w:val="00725418"/>
    <w:rsid w:val="00726AB0"/>
    <w:rsid w:val="00726C9E"/>
    <w:rsid w:val="0074696D"/>
    <w:rsid w:val="00747568"/>
    <w:rsid w:val="007526AF"/>
    <w:rsid w:val="00755275"/>
    <w:rsid w:val="00760BE6"/>
    <w:rsid w:val="00762FB9"/>
    <w:rsid w:val="00763F9E"/>
    <w:rsid w:val="00764D09"/>
    <w:rsid w:val="0076781B"/>
    <w:rsid w:val="00770724"/>
    <w:rsid w:val="00772A05"/>
    <w:rsid w:val="00773DD6"/>
    <w:rsid w:val="007751BD"/>
    <w:rsid w:val="007765E3"/>
    <w:rsid w:val="00781197"/>
    <w:rsid w:val="00792C24"/>
    <w:rsid w:val="00794475"/>
    <w:rsid w:val="0079456E"/>
    <w:rsid w:val="0079676D"/>
    <w:rsid w:val="0079723E"/>
    <w:rsid w:val="007A101C"/>
    <w:rsid w:val="007A12B7"/>
    <w:rsid w:val="007A1682"/>
    <w:rsid w:val="007A2A39"/>
    <w:rsid w:val="007B0E5C"/>
    <w:rsid w:val="007B3782"/>
    <w:rsid w:val="007B6D81"/>
    <w:rsid w:val="007C0034"/>
    <w:rsid w:val="007C3E23"/>
    <w:rsid w:val="007C6180"/>
    <w:rsid w:val="007C618C"/>
    <w:rsid w:val="007C6887"/>
    <w:rsid w:val="007D63D3"/>
    <w:rsid w:val="007D722C"/>
    <w:rsid w:val="007E2D8F"/>
    <w:rsid w:val="007E4998"/>
    <w:rsid w:val="007E5143"/>
    <w:rsid w:val="007E6D96"/>
    <w:rsid w:val="007F44CA"/>
    <w:rsid w:val="00800F73"/>
    <w:rsid w:val="00801EED"/>
    <w:rsid w:val="0080233E"/>
    <w:rsid w:val="00806012"/>
    <w:rsid w:val="008104F0"/>
    <w:rsid w:val="00810CBB"/>
    <w:rsid w:val="00811FD3"/>
    <w:rsid w:val="0081225D"/>
    <w:rsid w:val="00814839"/>
    <w:rsid w:val="008173B3"/>
    <w:rsid w:val="00820C87"/>
    <w:rsid w:val="00821734"/>
    <w:rsid w:val="00821DFC"/>
    <w:rsid w:val="00823C5D"/>
    <w:rsid w:val="00825831"/>
    <w:rsid w:val="00825E8B"/>
    <w:rsid w:val="00834FAC"/>
    <w:rsid w:val="0083575F"/>
    <w:rsid w:val="00842094"/>
    <w:rsid w:val="0085231E"/>
    <w:rsid w:val="00853DB1"/>
    <w:rsid w:val="008558BC"/>
    <w:rsid w:val="008564C5"/>
    <w:rsid w:val="00856FDC"/>
    <w:rsid w:val="00857A39"/>
    <w:rsid w:val="00861A98"/>
    <w:rsid w:val="00862182"/>
    <w:rsid w:val="00863B85"/>
    <w:rsid w:val="008642E2"/>
    <w:rsid w:val="00864416"/>
    <w:rsid w:val="008646E4"/>
    <w:rsid w:val="00864A73"/>
    <w:rsid w:val="00867523"/>
    <w:rsid w:val="008729A6"/>
    <w:rsid w:val="0087425C"/>
    <w:rsid w:val="008754E6"/>
    <w:rsid w:val="008758AA"/>
    <w:rsid w:val="00875EB1"/>
    <w:rsid w:val="00876802"/>
    <w:rsid w:val="00881933"/>
    <w:rsid w:val="008828EB"/>
    <w:rsid w:val="00884C17"/>
    <w:rsid w:val="008870A4"/>
    <w:rsid w:val="00893178"/>
    <w:rsid w:val="00894847"/>
    <w:rsid w:val="0089612E"/>
    <w:rsid w:val="008971B5"/>
    <w:rsid w:val="008A0DC6"/>
    <w:rsid w:val="008A2B39"/>
    <w:rsid w:val="008A3077"/>
    <w:rsid w:val="008A307C"/>
    <w:rsid w:val="008A39C9"/>
    <w:rsid w:val="008A4362"/>
    <w:rsid w:val="008A4DB6"/>
    <w:rsid w:val="008A7640"/>
    <w:rsid w:val="008B0BB3"/>
    <w:rsid w:val="008B2130"/>
    <w:rsid w:val="008B4804"/>
    <w:rsid w:val="008B6896"/>
    <w:rsid w:val="008B6ABB"/>
    <w:rsid w:val="008C5965"/>
    <w:rsid w:val="008D0855"/>
    <w:rsid w:val="008D3D3C"/>
    <w:rsid w:val="008D4C4C"/>
    <w:rsid w:val="008D5840"/>
    <w:rsid w:val="008E5F33"/>
    <w:rsid w:val="008E657E"/>
    <w:rsid w:val="008F0439"/>
    <w:rsid w:val="008F0D50"/>
    <w:rsid w:val="008F2EE0"/>
    <w:rsid w:val="008F3DD1"/>
    <w:rsid w:val="008F554A"/>
    <w:rsid w:val="00903E68"/>
    <w:rsid w:val="00904549"/>
    <w:rsid w:val="009048C8"/>
    <w:rsid w:val="00910325"/>
    <w:rsid w:val="00910AC5"/>
    <w:rsid w:val="00913A7D"/>
    <w:rsid w:val="00914B03"/>
    <w:rsid w:val="0092080A"/>
    <w:rsid w:val="00925228"/>
    <w:rsid w:val="0092653E"/>
    <w:rsid w:val="00927B8F"/>
    <w:rsid w:val="00935EB6"/>
    <w:rsid w:val="009412C9"/>
    <w:rsid w:val="00945C33"/>
    <w:rsid w:val="00951DA8"/>
    <w:rsid w:val="00956E22"/>
    <w:rsid w:val="00957066"/>
    <w:rsid w:val="00960EF1"/>
    <w:rsid w:val="00961713"/>
    <w:rsid w:val="009628FF"/>
    <w:rsid w:val="0096595F"/>
    <w:rsid w:val="0096686B"/>
    <w:rsid w:val="00967DC8"/>
    <w:rsid w:val="009710A0"/>
    <w:rsid w:val="009814B6"/>
    <w:rsid w:val="0098310C"/>
    <w:rsid w:val="009840A7"/>
    <w:rsid w:val="00984461"/>
    <w:rsid w:val="00985D33"/>
    <w:rsid w:val="009868D5"/>
    <w:rsid w:val="009874D1"/>
    <w:rsid w:val="00990B1A"/>
    <w:rsid w:val="00992431"/>
    <w:rsid w:val="0099304F"/>
    <w:rsid w:val="009A1953"/>
    <w:rsid w:val="009A3410"/>
    <w:rsid w:val="009A5E8F"/>
    <w:rsid w:val="009A7482"/>
    <w:rsid w:val="009B1256"/>
    <w:rsid w:val="009B6F7D"/>
    <w:rsid w:val="009C0299"/>
    <w:rsid w:val="009C0FBD"/>
    <w:rsid w:val="009C10D4"/>
    <w:rsid w:val="009D1097"/>
    <w:rsid w:val="009D53CB"/>
    <w:rsid w:val="009E3D97"/>
    <w:rsid w:val="009E519C"/>
    <w:rsid w:val="009F1035"/>
    <w:rsid w:val="009F2915"/>
    <w:rsid w:val="009F2B31"/>
    <w:rsid w:val="009F50A8"/>
    <w:rsid w:val="00A00DF3"/>
    <w:rsid w:val="00A01C9E"/>
    <w:rsid w:val="00A02164"/>
    <w:rsid w:val="00A03C8C"/>
    <w:rsid w:val="00A05649"/>
    <w:rsid w:val="00A07C95"/>
    <w:rsid w:val="00A1064F"/>
    <w:rsid w:val="00A108B0"/>
    <w:rsid w:val="00A12536"/>
    <w:rsid w:val="00A12BF1"/>
    <w:rsid w:val="00A13DD5"/>
    <w:rsid w:val="00A17076"/>
    <w:rsid w:val="00A225F2"/>
    <w:rsid w:val="00A2665E"/>
    <w:rsid w:val="00A305B9"/>
    <w:rsid w:val="00A30979"/>
    <w:rsid w:val="00A33C68"/>
    <w:rsid w:val="00A355F1"/>
    <w:rsid w:val="00A42279"/>
    <w:rsid w:val="00A43BBC"/>
    <w:rsid w:val="00A44167"/>
    <w:rsid w:val="00A50BEA"/>
    <w:rsid w:val="00A52990"/>
    <w:rsid w:val="00A553CD"/>
    <w:rsid w:val="00A56E3C"/>
    <w:rsid w:val="00A60B89"/>
    <w:rsid w:val="00A613BC"/>
    <w:rsid w:val="00A62561"/>
    <w:rsid w:val="00A62563"/>
    <w:rsid w:val="00A65EA9"/>
    <w:rsid w:val="00A6606B"/>
    <w:rsid w:val="00A6694A"/>
    <w:rsid w:val="00A67B86"/>
    <w:rsid w:val="00A727DB"/>
    <w:rsid w:val="00A72EDC"/>
    <w:rsid w:val="00A7520A"/>
    <w:rsid w:val="00A7693C"/>
    <w:rsid w:val="00A76A05"/>
    <w:rsid w:val="00A819B5"/>
    <w:rsid w:val="00A84D32"/>
    <w:rsid w:val="00A8569A"/>
    <w:rsid w:val="00A85804"/>
    <w:rsid w:val="00A9130D"/>
    <w:rsid w:val="00A9246A"/>
    <w:rsid w:val="00A92617"/>
    <w:rsid w:val="00A95362"/>
    <w:rsid w:val="00AA2F58"/>
    <w:rsid w:val="00AA3240"/>
    <w:rsid w:val="00AA49A3"/>
    <w:rsid w:val="00AA77AC"/>
    <w:rsid w:val="00AB0C59"/>
    <w:rsid w:val="00AB2E7B"/>
    <w:rsid w:val="00AB78D9"/>
    <w:rsid w:val="00AC0737"/>
    <w:rsid w:val="00AC0847"/>
    <w:rsid w:val="00AC2B71"/>
    <w:rsid w:val="00AC5AB2"/>
    <w:rsid w:val="00AC5BA0"/>
    <w:rsid w:val="00AC6D7C"/>
    <w:rsid w:val="00AD0B0C"/>
    <w:rsid w:val="00AD0BE8"/>
    <w:rsid w:val="00AD1537"/>
    <w:rsid w:val="00AD19B7"/>
    <w:rsid w:val="00AD4361"/>
    <w:rsid w:val="00AD535E"/>
    <w:rsid w:val="00AE0589"/>
    <w:rsid w:val="00AE0F1D"/>
    <w:rsid w:val="00AE3EAD"/>
    <w:rsid w:val="00AE3F52"/>
    <w:rsid w:val="00AE7193"/>
    <w:rsid w:val="00AF2A12"/>
    <w:rsid w:val="00AF38CB"/>
    <w:rsid w:val="00AF3914"/>
    <w:rsid w:val="00B0081F"/>
    <w:rsid w:val="00B011DB"/>
    <w:rsid w:val="00B10401"/>
    <w:rsid w:val="00B12A76"/>
    <w:rsid w:val="00B12EC8"/>
    <w:rsid w:val="00B130EE"/>
    <w:rsid w:val="00B14EC2"/>
    <w:rsid w:val="00B15F5D"/>
    <w:rsid w:val="00B235F8"/>
    <w:rsid w:val="00B24802"/>
    <w:rsid w:val="00B24D43"/>
    <w:rsid w:val="00B25FB3"/>
    <w:rsid w:val="00B266E0"/>
    <w:rsid w:val="00B31BA6"/>
    <w:rsid w:val="00B34D7B"/>
    <w:rsid w:val="00B37BFF"/>
    <w:rsid w:val="00B40EBC"/>
    <w:rsid w:val="00B4119D"/>
    <w:rsid w:val="00B41EFF"/>
    <w:rsid w:val="00B46860"/>
    <w:rsid w:val="00B51259"/>
    <w:rsid w:val="00B515FB"/>
    <w:rsid w:val="00B52A4C"/>
    <w:rsid w:val="00B52BAC"/>
    <w:rsid w:val="00B53DAF"/>
    <w:rsid w:val="00B57B37"/>
    <w:rsid w:val="00B608B5"/>
    <w:rsid w:val="00B6231B"/>
    <w:rsid w:val="00B62FD8"/>
    <w:rsid w:val="00B630CB"/>
    <w:rsid w:val="00B631F9"/>
    <w:rsid w:val="00B727A9"/>
    <w:rsid w:val="00B730A3"/>
    <w:rsid w:val="00B7355D"/>
    <w:rsid w:val="00B74030"/>
    <w:rsid w:val="00B757AA"/>
    <w:rsid w:val="00B76498"/>
    <w:rsid w:val="00B76809"/>
    <w:rsid w:val="00B8373F"/>
    <w:rsid w:val="00B86126"/>
    <w:rsid w:val="00B879BA"/>
    <w:rsid w:val="00B90DC5"/>
    <w:rsid w:val="00B90F82"/>
    <w:rsid w:val="00B92257"/>
    <w:rsid w:val="00B92BF3"/>
    <w:rsid w:val="00BA0CC3"/>
    <w:rsid w:val="00BA288E"/>
    <w:rsid w:val="00BA428F"/>
    <w:rsid w:val="00BA4377"/>
    <w:rsid w:val="00BA564E"/>
    <w:rsid w:val="00BA5B0B"/>
    <w:rsid w:val="00BA667C"/>
    <w:rsid w:val="00BB130E"/>
    <w:rsid w:val="00BB2320"/>
    <w:rsid w:val="00BB2BC4"/>
    <w:rsid w:val="00BB364F"/>
    <w:rsid w:val="00BB4C61"/>
    <w:rsid w:val="00BB682B"/>
    <w:rsid w:val="00BB761D"/>
    <w:rsid w:val="00BC054B"/>
    <w:rsid w:val="00BC11B4"/>
    <w:rsid w:val="00BD0C93"/>
    <w:rsid w:val="00BD1C72"/>
    <w:rsid w:val="00BD542F"/>
    <w:rsid w:val="00BD5855"/>
    <w:rsid w:val="00BD5FD0"/>
    <w:rsid w:val="00BD69C2"/>
    <w:rsid w:val="00BE1E4D"/>
    <w:rsid w:val="00BE365A"/>
    <w:rsid w:val="00BE3968"/>
    <w:rsid w:val="00BE490D"/>
    <w:rsid w:val="00BE5993"/>
    <w:rsid w:val="00BE792F"/>
    <w:rsid w:val="00BF02BE"/>
    <w:rsid w:val="00BF08B0"/>
    <w:rsid w:val="00BF144E"/>
    <w:rsid w:val="00BF1A41"/>
    <w:rsid w:val="00BF446E"/>
    <w:rsid w:val="00BF6E1A"/>
    <w:rsid w:val="00C02CB5"/>
    <w:rsid w:val="00C05087"/>
    <w:rsid w:val="00C06481"/>
    <w:rsid w:val="00C06FA7"/>
    <w:rsid w:val="00C12E74"/>
    <w:rsid w:val="00C141B9"/>
    <w:rsid w:val="00C165C1"/>
    <w:rsid w:val="00C168CD"/>
    <w:rsid w:val="00C21C95"/>
    <w:rsid w:val="00C23590"/>
    <w:rsid w:val="00C23E46"/>
    <w:rsid w:val="00C248D6"/>
    <w:rsid w:val="00C252A8"/>
    <w:rsid w:val="00C25514"/>
    <w:rsid w:val="00C26612"/>
    <w:rsid w:val="00C2746E"/>
    <w:rsid w:val="00C3257D"/>
    <w:rsid w:val="00C330BF"/>
    <w:rsid w:val="00C340EF"/>
    <w:rsid w:val="00C34A60"/>
    <w:rsid w:val="00C3520E"/>
    <w:rsid w:val="00C37781"/>
    <w:rsid w:val="00C37D94"/>
    <w:rsid w:val="00C40F1E"/>
    <w:rsid w:val="00C42935"/>
    <w:rsid w:val="00C43AB7"/>
    <w:rsid w:val="00C44436"/>
    <w:rsid w:val="00C455AE"/>
    <w:rsid w:val="00C52184"/>
    <w:rsid w:val="00C52758"/>
    <w:rsid w:val="00C568D7"/>
    <w:rsid w:val="00C61AC6"/>
    <w:rsid w:val="00C638E8"/>
    <w:rsid w:val="00C65598"/>
    <w:rsid w:val="00C6643D"/>
    <w:rsid w:val="00C66A24"/>
    <w:rsid w:val="00C66BFB"/>
    <w:rsid w:val="00C66C84"/>
    <w:rsid w:val="00C673D8"/>
    <w:rsid w:val="00C6768C"/>
    <w:rsid w:val="00C72D0E"/>
    <w:rsid w:val="00C75CAB"/>
    <w:rsid w:val="00C76F40"/>
    <w:rsid w:val="00C8033B"/>
    <w:rsid w:val="00C8186F"/>
    <w:rsid w:val="00C82B5E"/>
    <w:rsid w:val="00C860D5"/>
    <w:rsid w:val="00C86252"/>
    <w:rsid w:val="00C9188C"/>
    <w:rsid w:val="00C96698"/>
    <w:rsid w:val="00CA1E85"/>
    <w:rsid w:val="00CA2DC8"/>
    <w:rsid w:val="00CA3FDA"/>
    <w:rsid w:val="00CA597F"/>
    <w:rsid w:val="00CA6726"/>
    <w:rsid w:val="00CB2D9C"/>
    <w:rsid w:val="00CB3C2E"/>
    <w:rsid w:val="00CB5024"/>
    <w:rsid w:val="00CB55C4"/>
    <w:rsid w:val="00CC0840"/>
    <w:rsid w:val="00CC2B0B"/>
    <w:rsid w:val="00CC5AF5"/>
    <w:rsid w:val="00CC62F3"/>
    <w:rsid w:val="00CD02EB"/>
    <w:rsid w:val="00CD2A1A"/>
    <w:rsid w:val="00CD66E9"/>
    <w:rsid w:val="00CD6E14"/>
    <w:rsid w:val="00CD7C94"/>
    <w:rsid w:val="00CE1A75"/>
    <w:rsid w:val="00CE2197"/>
    <w:rsid w:val="00CE35FD"/>
    <w:rsid w:val="00CE39DD"/>
    <w:rsid w:val="00CF0E96"/>
    <w:rsid w:val="00CF34B6"/>
    <w:rsid w:val="00CF492C"/>
    <w:rsid w:val="00CF4C19"/>
    <w:rsid w:val="00CF5A04"/>
    <w:rsid w:val="00D00CA1"/>
    <w:rsid w:val="00D00CD4"/>
    <w:rsid w:val="00D038B4"/>
    <w:rsid w:val="00D03BEF"/>
    <w:rsid w:val="00D04065"/>
    <w:rsid w:val="00D04AE9"/>
    <w:rsid w:val="00D05FDA"/>
    <w:rsid w:val="00D10620"/>
    <w:rsid w:val="00D13E78"/>
    <w:rsid w:val="00D15F11"/>
    <w:rsid w:val="00D20F87"/>
    <w:rsid w:val="00D22B65"/>
    <w:rsid w:val="00D22F4B"/>
    <w:rsid w:val="00D25731"/>
    <w:rsid w:val="00D268F5"/>
    <w:rsid w:val="00D27B22"/>
    <w:rsid w:val="00D27C75"/>
    <w:rsid w:val="00D31796"/>
    <w:rsid w:val="00D358EC"/>
    <w:rsid w:val="00D35DD6"/>
    <w:rsid w:val="00D36077"/>
    <w:rsid w:val="00D37758"/>
    <w:rsid w:val="00D37935"/>
    <w:rsid w:val="00D40DA6"/>
    <w:rsid w:val="00D41797"/>
    <w:rsid w:val="00D43A4F"/>
    <w:rsid w:val="00D43FF0"/>
    <w:rsid w:val="00D44819"/>
    <w:rsid w:val="00D45A48"/>
    <w:rsid w:val="00D46F94"/>
    <w:rsid w:val="00D47330"/>
    <w:rsid w:val="00D4796A"/>
    <w:rsid w:val="00D5091E"/>
    <w:rsid w:val="00D5524D"/>
    <w:rsid w:val="00D559C6"/>
    <w:rsid w:val="00D55B0E"/>
    <w:rsid w:val="00D601B5"/>
    <w:rsid w:val="00D60A7C"/>
    <w:rsid w:val="00D612A4"/>
    <w:rsid w:val="00D62EE5"/>
    <w:rsid w:val="00D63ADD"/>
    <w:rsid w:val="00D63D39"/>
    <w:rsid w:val="00D64A15"/>
    <w:rsid w:val="00D664CD"/>
    <w:rsid w:val="00D678FE"/>
    <w:rsid w:val="00D711E5"/>
    <w:rsid w:val="00D732AE"/>
    <w:rsid w:val="00D7397C"/>
    <w:rsid w:val="00D75BCE"/>
    <w:rsid w:val="00D81CCA"/>
    <w:rsid w:val="00D841D9"/>
    <w:rsid w:val="00D851E0"/>
    <w:rsid w:val="00D858A7"/>
    <w:rsid w:val="00D86C95"/>
    <w:rsid w:val="00D906FB"/>
    <w:rsid w:val="00D911DE"/>
    <w:rsid w:val="00D91D5E"/>
    <w:rsid w:val="00D96F26"/>
    <w:rsid w:val="00DA0AA5"/>
    <w:rsid w:val="00DA1466"/>
    <w:rsid w:val="00DA27FD"/>
    <w:rsid w:val="00DA33C9"/>
    <w:rsid w:val="00DA4601"/>
    <w:rsid w:val="00DA4784"/>
    <w:rsid w:val="00DA55EB"/>
    <w:rsid w:val="00DA6A16"/>
    <w:rsid w:val="00DA6B46"/>
    <w:rsid w:val="00DB01DD"/>
    <w:rsid w:val="00DB11D2"/>
    <w:rsid w:val="00DB15ED"/>
    <w:rsid w:val="00DB6354"/>
    <w:rsid w:val="00DD0094"/>
    <w:rsid w:val="00DD4FB1"/>
    <w:rsid w:val="00DE0ECA"/>
    <w:rsid w:val="00DE1DC7"/>
    <w:rsid w:val="00DE6AD5"/>
    <w:rsid w:val="00DE7C86"/>
    <w:rsid w:val="00DF1D28"/>
    <w:rsid w:val="00DF227C"/>
    <w:rsid w:val="00E0010A"/>
    <w:rsid w:val="00E022D0"/>
    <w:rsid w:val="00E03006"/>
    <w:rsid w:val="00E0769B"/>
    <w:rsid w:val="00E124FE"/>
    <w:rsid w:val="00E12941"/>
    <w:rsid w:val="00E15E28"/>
    <w:rsid w:val="00E1600C"/>
    <w:rsid w:val="00E22735"/>
    <w:rsid w:val="00E227E9"/>
    <w:rsid w:val="00E23A2A"/>
    <w:rsid w:val="00E30519"/>
    <w:rsid w:val="00E3187B"/>
    <w:rsid w:val="00E32CF9"/>
    <w:rsid w:val="00E3651F"/>
    <w:rsid w:val="00E4196A"/>
    <w:rsid w:val="00E4770C"/>
    <w:rsid w:val="00E523FB"/>
    <w:rsid w:val="00E52E7C"/>
    <w:rsid w:val="00E52EEF"/>
    <w:rsid w:val="00E52FB6"/>
    <w:rsid w:val="00E5430A"/>
    <w:rsid w:val="00E56AE5"/>
    <w:rsid w:val="00E6285F"/>
    <w:rsid w:val="00E74750"/>
    <w:rsid w:val="00E74C59"/>
    <w:rsid w:val="00E81834"/>
    <w:rsid w:val="00E81F86"/>
    <w:rsid w:val="00E85716"/>
    <w:rsid w:val="00E86519"/>
    <w:rsid w:val="00E941A0"/>
    <w:rsid w:val="00E97221"/>
    <w:rsid w:val="00E9774A"/>
    <w:rsid w:val="00EA0484"/>
    <w:rsid w:val="00EA0575"/>
    <w:rsid w:val="00EA2360"/>
    <w:rsid w:val="00EA3791"/>
    <w:rsid w:val="00EA51E5"/>
    <w:rsid w:val="00EB0594"/>
    <w:rsid w:val="00EB256A"/>
    <w:rsid w:val="00EB6057"/>
    <w:rsid w:val="00EB679A"/>
    <w:rsid w:val="00EC122D"/>
    <w:rsid w:val="00EC2833"/>
    <w:rsid w:val="00EC3317"/>
    <w:rsid w:val="00EC3358"/>
    <w:rsid w:val="00EC3451"/>
    <w:rsid w:val="00EC3483"/>
    <w:rsid w:val="00EC3643"/>
    <w:rsid w:val="00EC40E6"/>
    <w:rsid w:val="00EC51CF"/>
    <w:rsid w:val="00EC70C0"/>
    <w:rsid w:val="00ED416D"/>
    <w:rsid w:val="00ED4B7E"/>
    <w:rsid w:val="00ED4C14"/>
    <w:rsid w:val="00ED50F3"/>
    <w:rsid w:val="00ED6882"/>
    <w:rsid w:val="00ED6F4C"/>
    <w:rsid w:val="00ED75BE"/>
    <w:rsid w:val="00ED787C"/>
    <w:rsid w:val="00EE114D"/>
    <w:rsid w:val="00EE18E8"/>
    <w:rsid w:val="00EE6058"/>
    <w:rsid w:val="00EE7CD6"/>
    <w:rsid w:val="00EE7E3D"/>
    <w:rsid w:val="00EF2144"/>
    <w:rsid w:val="00EF21E1"/>
    <w:rsid w:val="00EF3F3A"/>
    <w:rsid w:val="00EF4C83"/>
    <w:rsid w:val="00EF76ED"/>
    <w:rsid w:val="00F0347B"/>
    <w:rsid w:val="00F05048"/>
    <w:rsid w:val="00F06597"/>
    <w:rsid w:val="00F11EB8"/>
    <w:rsid w:val="00F131D2"/>
    <w:rsid w:val="00F1369E"/>
    <w:rsid w:val="00F15C49"/>
    <w:rsid w:val="00F20F6D"/>
    <w:rsid w:val="00F24008"/>
    <w:rsid w:val="00F32FD8"/>
    <w:rsid w:val="00F35778"/>
    <w:rsid w:val="00F358B5"/>
    <w:rsid w:val="00F360CA"/>
    <w:rsid w:val="00F368A4"/>
    <w:rsid w:val="00F37F5D"/>
    <w:rsid w:val="00F40C3D"/>
    <w:rsid w:val="00F4305F"/>
    <w:rsid w:val="00F43E3D"/>
    <w:rsid w:val="00F50297"/>
    <w:rsid w:val="00F52AA3"/>
    <w:rsid w:val="00F54253"/>
    <w:rsid w:val="00F5542A"/>
    <w:rsid w:val="00F629CA"/>
    <w:rsid w:val="00F71BBC"/>
    <w:rsid w:val="00F73B15"/>
    <w:rsid w:val="00F7530C"/>
    <w:rsid w:val="00F7546A"/>
    <w:rsid w:val="00F77358"/>
    <w:rsid w:val="00F77858"/>
    <w:rsid w:val="00F80C44"/>
    <w:rsid w:val="00F80FAA"/>
    <w:rsid w:val="00F81E7D"/>
    <w:rsid w:val="00F85699"/>
    <w:rsid w:val="00F8614F"/>
    <w:rsid w:val="00F86975"/>
    <w:rsid w:val="00F92DEE"/>
    <w:rsid w:val="00F92E00"/>
    <w:rsid w:val="00F93DF9"/>
    <w:rsid w:val="00F96F06"/>
    <w:rsid w:val="00F97370"/>
    <w:rsid w:val="00FA1152"/>
    <w:rsid w:val="00FA1D67"/>
    <w:rsid w:val="00FA4AD6"/>
    <w:rsid w:val="00FA4F87"/>
    <w:rsid w:val="00FA5228"/>
    <w:rsid w:val="00FA53C0"/>
    <w:rsid w:val="00FA5592"/>
    <w:rsid w:val="00FA65D0"/>
    <w:rsid w:val="00FA7B39"/>
    <w:rsid w:val="00FB1AA7"/>
    <w:rsid w:val="00FB35D3"/>
    <w:rsid w:val="00FB72F2"/>
    <w:rsid w:val="00FC131A"/>
    <w:rsid w:val="00FC1D5B"/>
    <w:rsid w:val="00FD1992"/>
    <w:rsid w:val="00FD1E3B"/>
    <w:rsid w:val="00FD40DA"/>
    <w:rsid w:val="00FD41AE"/>
    <w:rsid w:val="00FD6D21"/>
    <w:rsid w:val="00FE3F48"/>
    <w:rsid w:val="00FE4EC1"/>
    <w:rsid w:val="00FE55AC"/>
    <w:rsid w:val="00FF0289"/>
    <w:rsid w:val="00FF0A9D"/>
    <w:rsid w:val="00FF1D68"/>
    <w:rsid w:val="00FF4189"/>
    <w:rsid w:val="00FF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F11EB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714E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9"/>
    <w:qFormat/>
    <w:rsid w:val="004C7A0F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60714E"/>
    <w:rPr>
      <w:rFonts w:ascii="Cambria" w:eastAsia="新細明體" w:hAnsi="Cambria"/>
      <w:b/>
      <w:kern w:val="52"/>
      <w:sz w:val="52"/>
    </w:rPr>
  </w:style>
  <w:style w:type="character" w:customStyle="1" w:styleId="20">
    <w:name w:val="標題 2 字元"/>
    <w:link w:val="2"/>
    <w:uiPriority w:val="99"/>
    <w:locked/>
    <w:rsid w:val="004C7A0F"/>
    <w:rPr>
      <w:rFonts w:ascii="Cambria" w:eastAsia="新細明體" w:hAnsi="Cambria"/>
      <w:b/>
      <w:kern w:val="2"/>
      <w:sz w:val="48"/>
    </w:rPr>
  </w:style>
  <w:style w:type="paragraph" w:styleId="a3">
    <w:name w:val="footer"/>
    <w:basedOn w:val="a"/>
    <w:link w:val="a4"/>
    <w:uiPriority w:val="99"/>
    <w:rsid w:val="00F11E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link w:val="a3"/>
    <w:uiPriority w:val="99"/>
    <w:semiHidden/>
    <w:rsid w:val="00AC2790"/>
    <w:rPr>
      <w:sz w:val="20"/>
      <w:szCs w:val="20"/>
    </w:rPr>
  </w:style>
  <w:style w:type="character" w:styleId="a5">
    <w:name w:val="page number"/>
    <w:uiPriority w:val="99"/>
    <w:rsid w:val="00F11EB8"/>
    <w:rPr>
      <w:rFonts w:cs="Times New Roman"/>
    </w:rPr>
  </w:style>
  <w:style w:type="paragraph" w:styleId="a6">
    <w:name w:val="Body Text Indent"/>
    <w:basedOn w:val="a"/>
    <w:link w:val="a7"/>
    <w:uiPriority w:val="99"/>
    <w:rsid w:val="00F11EB8"/>
    <w:pPr>
      <w:spacing w:before="120" w:line="360" w:lineRule="auto"/>
      <w:ind w:firstLine="601"/>
      <w:jc w:val="both"/>
    </w:pPr>
    <w:rPr>
      <w:rFonts w:eastAsia="標楷體"/>
      <w:szCs w:val="20"/>
    </w:rPr>
  </w:style>
  <w:style w:type="character" w:customStyle="1" w:styleId="a7">
    <w:name w:val="本文縮排 字元"/>
    <w:link w:val="a6"/>
    <w:uiPriority w:val="99"/>
    <w:semiHidden/>
    <w:rsid w:val="00AC2790"/>
    <w:rPr>
      <w:szCs w:val="24"/>
    </w:rPr>
  </w:style>
  <w:style w:type="character" w:styleId="a8">
    <w:name w:val="Hyperlink"/>
    <w:uiPriority w:val="99"/>
    <w:rsid w:val="008A7640"/>
    <w:rPr>
      <w:rFonts w:eastAsia="標楷體" w:cs="Times New Roman"/>
      <w:color w:val="auto"/>
      <w:u w:val="none"/>
    </w:rPr>
  </w:style>
  <w:style w:type="paragraph" w:styleId="a9">
    <w:name w:val="header"/>
    <w:basedOn w:val="a"/>
    <w:link w:val="aa"/>
    <w:uiPriority w:val="99"/>
    <w:rsid w:val="00F11E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link w:val="a9"/>
    <w:uiPriority w:val="99"/>
    <w:semiHidden/>
    <w:rsid w:val="00AC2790"/>
    <w:rPr>
      <w:sz w:val="20"/>
      <w:szCs w:val="20"/>
    </w:rPr>
  </w:style>
  <w:style w:type="paragraph" w:styleId="ab">
    <w:name w:val="Balloon Text"/>
    <w:basedOn w:val="a"/>
    <w:link w:val="ac"/>
    <w:uiPriority w:val="99"/>
    <w:rsid w:val="00F52AA3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uiPriority w:val="99"/>
    <w:locked/>
    <w:rsid w:val="00F52AA3"/>
    <w:rPr>
      <w:rFonts w:ascii="Cambria" w:eastAsia="新細明體" w:hAnsi="Cambria"/>
      <w:kern w:val="2"/>
      <w:sz w:val="18"/>
    </w:rPr>
  </w:style>
  <w:style w:type="paragraph" w:styleId="11">
    <w:name w:val="toc 1"/>
    <w:basedOn w:val="a"/>
    <w:next w:val="a"/>
    <w:autoRedefine/>
    <w:uiPriority w:val="39"/>
    <w:rsid w:val="00C86252"/>
    <w:pPr>
      <w:tabs>
        <w:tab w:val="right" w:leader="dot" w:pos="8789"/>
      </w:tabs>
      <w:spacing w:line="500" w:lineRule="exact"/>
      <w:ind w:leftChars="354" w:left="1136" w:hanging="286"/>
    </w:pPr>
    <w:rPr>
      <w:sz w:val="28"/>
    </w:rPr>
  </w:style>
  <w:style w:type="paragraph" w:styleId="ad">
    <w:name w:val="footnote text"/>
    <w:basedOn w:val="a"/>
    <w:link w:val="ae"/>
    <w:uiPriority w:val="99"/>
    <w:rsid w:val="004C7A0F"/>
    <w:pPr>
      <w:snapToGrid w:val="0"/>
    </w:pPr>
    <w:rPr>
      <w:sz w:val="20"/>
      <w:szCs w:val="20"/>
    </w:rPr>
  </w:style>
  <w:style w:type="character" w:customStyle="1" w:styleId="ae">
    <w:name w:val="註腳文字 字元"/>
    <w:link w:val="ad"/>
    <w:uiPriority w:val="99"/>
    <w:locked/>
    <w:rsid w:val="004C7A0F"/>
    <w:rPr>
      <w:kern w:val="2"/>
    </w:rPr>
  </w:style>
  <w:style w:type="paragraph" w:styleId="3">
    <w:name w:val="toc 3"/>
    <w:basedOn w:val="a"/>
    <w:next w:val="a"/>
    <w:autoRedefine/>
    <w:uiPriority w:val="99"/>
    <w:rsid w:val="00D906FB"/>
    <w:pPr>
      <w:ind w:leftChars="400" w:left="960"/>
    </w:pPr>
  </w:style>
  <w:style w:type="character" w:styleId="af">
    <w:name w:val="footnote reference"/>
    <w:uiPriority w:val="99"/>
    <w:rsid w:val="004C7A0F"/>
    <w:rPr>
      <w:rFonts w:cs="Times New Roman"/>
      <w:vertAlign w:val="superscript"/>
    </w:rPr>
  </w:style>
  <w:style w:type="paragraph" w:styleId="21">
    <w:name w:val="toc 2"/>
    <w:basedOn w:val="a"/>
    <w:next w:val="a"/>
    <w:autoRedefine/>
    <w:uiPriority w:val="39"/>
    <w:rsid w:val="00C86252"/>
    <w:pPr>
      <w:tabs>
        <w:tab w:val="left" w:leader="middleDot" w:pos="8647"/>
      </w:tabs>
      <w:spacing w:line="500" w:lineRule="exact"/>
      <w:ind w:leftChars="200" w:left="480" w:firstLineChars="150" w:firstLine="420"/>
    </w:pPr>
    <w:rPr>
      <w:sz w:val="28"/>
    </w:rPr>
  </w:style>
  <w:style w:type="paragraph" w:styleId="af0">
    <w:name w:val="TOC Heading"/>
    <w:basedOn w:val="1"/>
    <w:next w:val="a"/>
    <w:uiPriority w:val="99"/>
    <w:qFormat/>
    <w:rsid w:val="00A01C9E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table" w:styleId="-2">
    <w:name w:val="Light Shading Accent 2"/>
    <w:basedOn w:val="a1"/>
    <w:uiPriority w:val="99"/>
    <w:rsid w:val="00364D24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2">
    <w:name w:val="淺色格線1"/>
    <w:uiPriority w:val="99"/>
    <w:rsid w:val="00364D24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淺色格線 - 輔色 11"/>
    <w:uiPriority w:val="99"/>
    <w:rsid w:val="00364D24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0">
    <w:name w:val="Light Grid Accent 2"/>
    <w:basedOn w:val="a1"/>
    <w:uiPriority w:val="99"/>
    <w:rsid w:val="00364D24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新細明體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mbria" w:eastAsia="新細明體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新細明體" w:hAnsi="Cambria" w:cs="Times New Roman"/>
        <w:b/>
        <w:bCs/>
      </w:rPr>
    </w:tblStylePr>
    <w:tblStylePr w:type="lastCol">
      <w:rPr>
        <w:rFonts w:ascii="Cambria" w:eastAsia="新細明體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">
    <w:name w:val="Light Grid Accent 3"/>
    <w:basedOn w:val="a1"/>
    <w:uiPriority w:val="99"/>
    <w:rsid w:val="00364D24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新細明體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新細明體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新細明體" w:hAnsi="Cambria" w:cs="Times New Roman"/>
        <w:b/>
        <w:bCs/>
      </w:rPr>
    </w:tblStylePr>
    <w:tblStylePr w:type="lastCol">
      <w:rPr>
        <w:rFonts w:ascii="Cambria" w:eastAsia="新細明體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1-11">
    <w:name w:val="暗色清單 1 - 輔色 11"/>
    <w:uiPriority w:val="99"/>
    <w:rsid w:val="00364D24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4">
    <w:name w:val="Medium List 1 Accent 4"/>
    <w:basedOn w:val="a1"/>
    <w:uiPriority w:val="99"/>
    <w:rsid w:val="00364D24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新細明體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rPr>
        <w:rFonts w:cs="Times New Roman"/>
      </w:rPr>
      <w:tblPr/>
      <w:tcPr>
        <w:shd w:val="clear" w:color="auto" w:fill="DFD8E8"/>
      </w:tcPr>
    </w:tblStylePr>
    <w:tblStylePr w:type="band1Horz">
      <w:rPr>
        <w:rFonts w:cs="Times New Roman"/>
      </w:rPr>
      <w:tblPr/>
      <w:tcPr>
        <w:shd w:val="clear" w:color="auto" w:fill="DFD8E8"/>
      </w:tcPr>
    </w:tblStylePr>
  </w:style>
  <w:style w:type="table" w:styleId="-30">
    <w:name w:val="Colorful Shading Accent 3"/>
    <w:basedOn w:val="a1"/>
    <w:uiPriority w:val="99"/>
    <w:rsid w:val="00364D24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rPr>
        <w:rFonts w:cs="Times New Roman"/>
      </w:rPr>
      <w:tblPr/>
      <w:tcPr>
        <w:shd w:val="clear" w:color="auto" w:fill="D6E3B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3-2">
    <w:name w:val="Medium Grid 3 Accent 2"/>
    <w:basedOn w:val="a1"/>
    <w:uiPriority w:val="99"/>
    <w:rsid w:val="00927B8F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2-5">
    <w:name w:val="Medium Grid 2 Accent 5"/>
    <w:basedOn w:val="a1"/>
    <w:uiPriority w:val="99"/>
    <w:rsid w:val="00927B8F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6F9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2">
    <w:name w:val="Medium List 2 Accent 2"/>
    <w:basedOn w:val="a1"/>
    <w:uiPriority w:val="99"/>
    <w:rsid w:val="00927B8F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3">
    <w:name w:val="Medium List 2 Accent 3"/>
    <w:basedOn w:val="a1"/>
    <w:uiPriority w:val="99"/>
    <w:rsid w:val="00927B8F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4">
    <w:name w:val="Medium List 2 Accent 4"/>
    <w:basedOn w:val="a1"/>
    <w:uiPriority w:val="99"/>
    <w:rsid w:val="00927B8F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1-2">
    <w:name w:val="Medium Shading 1 Accent 2"/>
    <w:basedOn w:val="a1"/>
    <w:uiPriority w:val="99"/>
    <w:rsid w:val="00927B8F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uiPriority w:val="99"/>
    <w:rsid w:val="00927B8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Colorful 1"/>
    <w:basedOn w:val="a1"/>
    <w:uiPriority w:val="99"/>
    <w:rsid w:val="00927B8F"/>
    <w:pPr>
      <w:widowControl w:val="0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5">
    <w:name w:val="Light List Accent 5"/>
    <w:basedOn w:val="a1"/>
    <w:uiPriority w:val="99"/>
    <w:rsid w:val="00927B8F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50">
    <w:name w:val="Light Grid Accent 5"/>
    <w:basedOn w:val="a1"/>
    <w:uiPriority w:val="99"/>
    <w:rsid w:val="00927B8F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新細明體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新細明體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新細明體" w:hAnsi="Cambria" w:cs="Times New Roman"/>
        <w:b/>
        <w:bCs/>
      </w:rPr>
    </w:tblStylePr>
    <w:tblStylePr w:type="lastCol">
      <w:rPr>
        <w:rFonts w:ascii="Cambria" w:eastAsia="新細明體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">
    <w:name w:val="Light Shading Accent 6"/>
    <w:basedOn w:val="a1"/>
    <w:uiPriority w:val="99"/>
    <w:rsid w:val="00927B8F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30">
    <w:name w:val="Table Colorful 3"/>
    <w:basedOn w:val="a1"/>
    <w:uiPriority w:val="99"/>
    <w:rsid w:val="00927B8F"/>
    <w:pPr>
      <w:widowControl w:val="0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31">
    <w:name w:val="Table Grid 3"/>
    <w:basedOn w:val="a1"/>
    <w:uiPriority w:val="99"/>
    <w:rsid w:val="00927B8F"/>
    <w:pPr>
      <w:widowControl w:val="0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4">
    <w:name w:val="Light List Accent 4"/>
    <w:basedOn w:val="a1"/>
    <w:uiPriority w:val="99"/>
    <w:rsid w:val="00927B8F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40">
    <w:name w:val="Light Grid Accent 4"/>
    <w:basedOn w:val="a1"/>
    <w:uiPriority w:val="99"/>
    <w:rsid w:val="00927B8F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新細明體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新細明體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新細明體" w:hAnsi="Cambria" w:cs="Times New Roman"/>
        <w:b/>
        <w:bCs/>
      </w:rPr>
    </w:tblStylePr>
    <w:tblStylePr w:type="lastCol">
      <w:rPr>
        <w:rFonts w:ascii="Cambria" w:eastAsia="新細明體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60">
    <w:name w:val="Light List Accent 6"/>
    <w:basedOn w:val="a1"/>
    <w:uiPriority w:val="99"/>
    <w:rsid w:val="00927B8F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1-6">
    <w:name w:val="Medium Shading 1 Accent 6"/>
    <w:basedOn w:val="a1"/>
    <w:uiPriority w:val="99"/>
    <w:rsid w:val="00927B8F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-61">
    <w:name w:val="Light Grid Accent 6"/>
    <w:basedOn w:val="a1"/>
    <w:uiPriority w:val="99"/>
    <w:rsid w:val="00927B8F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新細明體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Cambria" w:eastAsia="新細明體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新細明體" w:hAnsi="Cambria" w:cs="Times New Roman"/>
        <w:b/>
        <w:bCs/>
      </w:rPr>
    </w:tblStylePr>
    <w:tblStylePr w:type="lastCol">
      <w:rPr>
        <w:rFonts w:ascii="Cambria" w:eastAsia="新細明體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3-5">
    <w:name w:val="Medium Grid 3 Accent 5"/>
    <w:basedOn w:val="a1"/>
    <w:uiPriority w:val="99"/>
    <w:rsid w:val="006C7B1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1-3">
    <w:name w:val="Medium Grid 1 Accent 3"/>
    <w:basedOn w:val="a1"/>
    <w:uiPriority w:val="99"/>
    <w:rsid w:val="00EC51CF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1-5">
    <w:name w:val="Medium Grid 1 Accent 5"/>
    <w:basedOn w:val="a1"/>
    <w:uiPriority w:val="99"/>
    <w:rsid w:val="00EC51CF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table" w:styleId="-41">
    <w:name w:val="Colorful Grid Accent 4"/>
    <w:basedOn w:val="a1"/>
    <w:uiPriority w:val="99"/>
    <w:rsid w:val="00AD0B0C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rFonts w:cs="Times New Roman"/>
        <w:b/>
        <w:bCs/>
      </w:rPr>
      <w:tblPr/>
      <w:tcPr>
        <w:shd w:val="clear" w:color="auto" w:fill="CCC0D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CCC0D9"/>
      </w:tcPr>
    </w:tblStylePr>
    <w:tblStylePr w:type="firstCol">
      <w:rPr>
        <w:rFonts w:cs="Times New Roman"/>
        <w:color w:val="FFFFFF"/>
      </w:rPr>
      <w:tblPr/>
      <w:tcPr>
        <w:shd w:val="clear" w:color="auto" w:fill="5F497A"/>
      </w:tcPr>
    </w:tblStylePr>
    <w:tblStylePr w:type="lastCol">
      <w:rPr>
        <w:rFonts w:cs="Times New Roman"/>
        <w:color w:val="FFFFFF"/>
      </w:rPr>
      <w:tblPr/>
      <w:tcPr>
        <w:shd w:val="clear" w:color="auto" w:fill="5F497A"/>
      </w:tc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</w:style>
  <w:style w:type="table" w:styleId="3-4">
    <w:name w:val="Medium Grid 3 Accent 4"/>
    <w:basedOn w:val="a1"/>
    <w:uiPriority w:val="99"/>
    <w:rsid w:val="00AD0B0C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-21">
    <w:name w:val="Colorful List Accent 2"/>
    <w:basedOn w:val="a1"/>
    <w:uiPriority w:val="99"/>
    <w:rsid w:val="00AD0B0C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shd w:val="clear" w:color="auto" w:fill="F2DBDB"/>
      </w:tcPr>
    </w:tblStylePr>
  </w:style>
  <w:style w:type="table" w:customStyle="1" w:styleId="1-110">
    <w:name w:val="暗色網底 1 - 輔色 11"/>
    <w:uiPriority w:val="99"/>
    <w:rsid w:val="004D64BB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99"/>
    <w:qFormat/>
    <w:rsid w:val="00FF4189"/>
    <w:pPr>
      <w:ind w:leftChars="200" w:left="480"/>
    </w:pPr>
  </w:style>
  <w:style w:type="paragraph" w:customStyle="1" w:styleId="110">
    <w:name w:val="字元 字元1 字元 字元 字元1 字元 字元 字元 字元 字元 字元 字元 字元"/>
    <w:basedOn w:val="a"/>
    <w:uiPriority w:val="99"/>
    <w:semiHidden/>
    <w:rsid w:val="004D4EFC"/>
    <w:pPr>
      <w:widowControl/>
      <w:spacing w:after="160" w:line="240" w:lineRule="exact"/>
    </w:pPr>
    <w:rPr>
      <w:rFonts w:ascii="Verdana" w:hAnsi="Verdana" w:cs="Mangal"/>
      <w:sz w:val="20"/>
      <w:lang w:eastAsia="en-US" w:bidi="hi-IN"/>
    </w:rPr>
  </w:style>
  <w:style w:type="paragraph" w:customStyle="1" w:styleId="14">
    <w:name w:val="樣式1"/>
    <w:basedOn w:val="1"/>
    <w:link w:val="15"/>
    <w:autoRedefine/>
    <w:uiPriority w:val="99"/>
    <w:rsid w:val="00B74030"/>
    <w:rPr>
      <w:rFonts w:eastAsia="標楷體"/>
      <w:sz w:val="32"/>
    </w:rPr>
  </w:style>
  <w:style w:type="paragraph" w:customStyle="1" w:styleId="22">
    <w:name w:val="樣式2"/>
    <w:basedOn w:val="14"/>
    <w:link w:val="23"/>
    <w:autoRedefine/>
    <w:uiPriority w:val="99"/>
    <w:rsid w:val="0038271A"/>
    <w:pPr>
      <w:spacing w:before="0" w:after="120" w:line="240" w:lineRule="auto"/>
    </w:pPr>
  </w:style>
  <w:style w:type="character" w:customStyle="1" w:styleId="15">
    <w:name w:val="樣式1 字元"/>
    <w:link w:val="14"/>
    <w:uiPriority w:val="99"/>
    <w:locked/>
    <w:rsid w:val="00B74030"/>
    <w:rPr>
      <w:rFonts w:ascii="Cambria" w:eastAsia="標楷體" w:hAnsi="Cambria"/>
      <w:b/>
      <w:kern w:val="52"/>
      <w:sz w:val="52"/>
      <w:lang w:val="x-none" w:eastAsia="x-none"/>
    </w:rPr>
  </w:style>
  <w:style w:type="paragraph" w:styleId="Web">
    <w:name w:val="Normal (Web)"/>
    <w:basedOn w:val="a"/>
    <w:uiPriority w:val="99"/>
    <w:rsid w:val="00B7403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23">
    <w:name w:val="樣式2 字元"/>
    <w:link w:val="22"/>
    <w:uiPriority w:val="99"/>
    <w:locked/>
    <w:rsid w:val="0038271A"/>
    <w:rPr>
      <w:rFonts w:ascii="Cambria" w:eastAsia="標楷體" w:hAnsi="Cambria"/>
      <w:b/>
      <w:bCs/>
      <w:kern w:val="52"/>
      <w:sz w:val="32"/>
      <w:szCs w:val="52"/>
    </w:rPr>
  </w:style>
  <w:style w:type="character" w:styleId="af2">
    <w:name w:val="Placeholder Text"/>
    <w:basedOn w:val="a0"/>
    <w:uiPriority w:val="99"/>
    <w:semiHidden/>
    <w:rsid w:val="00061CBD"/>
    <w:rPr>
      <w:color w:val="808080"/>
    </w:rPr>
  </w:style>
  <w:style w:type="paragraph" w:styleId="af3">
    <w:name w:val="Quote"/>
    <w:basedOn w:val="a"/>
    <w:next w:val="a"/>
    <w:link w:val="af4"/>
    <w:uiPriority w:val="29"/>
    <w:qFormat/>
    <w:rsid w:val="00C86252"/>
    <w:pPr>
      <w:spacing w:beforeLines="30" w:before="30"/>
      <w:ind w:firstLineChars="200" w:firstLine="200"/>
    </w:pPr>
    <w:rPr>
      <w:rFonts w:eastAsia="標楷體"/>
      <w:i/>
      <w:iCs/>
      <w:color w:val="000000"/>
    </w:rPr>
  </w:style>
  <w:style w:type="character" w:customStyle="1" w:styleId="af4">
    <w:name w:val="引文 字元"/>
    <w:basedOn w:val="a0"/>
    <w:link w:val="af3"/>
    <w:uiPriority w:val="29"/>
    <w:rsid w:val="00C86252"/>
    <w:rPr>
      <w:rFonts w:eastAsia="標楷體"/>
      <w:i/>
      <w:iCs/>
      <w:color w:val="000000"/>
      <w:kern w:val="2"/>
      <w:sz w:val="24"/>
      <w:szCs w:val="24"/>
    </w:rPr>
  </w:style>
  <w:style w:type="character" w:styleId="af5">
    <w:name w:val="Subtle Emphasis"/>
    <w:uiPriority w:val="19"/>
    <w:qFormat/>
    <w:rsid w:val="0038271A"/>
    <w:rPr>
      <w:i/>
      <w:iCs/>
      <w:color w:val="F07F0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F11EB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714E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9"/>
    <w:qFormat/>
    <w:rsid w:val="004C7A0F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60714E"/>
    <w:rPr>
      <w:rFonts w:ascii="Cambria" w:eastAsia="新細明體" w:hAnsi="Cambria"/>
      <w:b/>
      <w:kern w:val="52"/>
      <w:sz w:val="52"/>
    </w:rPr>
  </w:style>
  <w:style w:type="character" w:customStyle="1" w:styleId="20">
    <w:name w:val="標題 2 字元"/>
    <w:link w:val="2"/>
    <w:uiPriority w:val="99"/>
    <w:locked/>
    <w:rsid w:val="004C7A0F"/>
    <w:rPr>
      <w:rFonts w:ascii="Cambria" w:eastAsia="新細明體" w:hAnsi="Cambria"/>
      <w:b/>
      <w:kern w:val="2"/>
      <w:sz w:val="48"/>
    </w:rPr>
  </w:style>
  <w:style w:type="paragraph" w:styleId="a3">
    <w:name w:val="footer"/>
    <w:basedOn w:val="a"/>
    <w:link w:val="a4"/>
    <w:uiPriority w:val="99"/>
    <w:rsid w:val="00F11E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link w:val="a3"/>
    <w:uiPriority w:val="99"/>
    <w:semiHidden/>
    <w:rsid w:val="00AC2790"/>
    <w:rPr>
      <w:sz w:val="20"/>
      <w:szCs w:val="20"/>
    </w:rPr>
  </w:style>
  <w:style w:type="character" w:styleId="a5">
    <w:name w:val="page number"/>
    <w:uiPriority w:val="99"/>
    <w:rsid w:val="00F11EB8"/>
    <w:rPr>
      <w:rFonts w:cs="Times New Roman"/>
    </w:rPr>
  </w:style>
  <w:style w:type="paragraph" w:styleId="a6">
    <w:name w:val="Body Text Indent"/>
    <w:basedOn w:val="a"/>
    <w:link w:val="a7"/>
    <w:uiPriority w:val="99"/>
    <w:rsid w:val="00F11EB8"/>
    <w:pPr>
      <w:spacing w:before="120" w:line="360" w:lineRule="auto"/>
      <w:ind w:firstLine="601"/>
      <w:jc w:val="both"/>
    </w:pPr>
    <w:rPr>
      <w:rFonts w:eastAsia="標楷體"/>
      <w:szCs w:val="20"/>
    </w:rPr>
  </w:style>
  <w:style w:type="character" w:customStyle="1" w:styleId="a7">
    <w:name w:val="本文縮排 字元"/>
    <w:link w:val="a6"/>
    <w:uiPriority w:val="99"/>
    <w:semiHidden/>
    <w:rsid w:val="00AC2790"/>
    <w:rPr>
      <w:szCs w:val="24"/>
    </w:rPr>
  </w:style>
  <w:style w:type="character" w:styleId="a8">
    <w:name w:val="Hyperlink"/>
    <w:uiPriority w:val="99"/>
    <w:rsid w:val="008A7640"/>
    <w:rPr>
      <w:rFonts w:eastAsia="標楷體" w:cs="Times New Roman"/>
      <w:color w:val="auto"/>
      <w:u w:val="none"/>
    </w:rPr>
  </w:style>
  <w:style w:type="paragraph" w:styleId="a9">
    <w:name w:val="header"/>
    <w:basedOn w:val="a"/>
    <w:link w:val="aa"/>
    <w:uiPriority w:val="99"/>
    <w:rsid w:val="00F11E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link w:val="a9"/>
    <w:uiPriority w:val="99"/>
    <w:semiHidden/>
    <w:rsid w:val="00AC2790"/>
    <w:rPr>
      <w:sz w:val="20"/>
      <w:szCs w:val="20"/>
    </w:rPr>
  </w:style>
  <w:style w:type="paragraph" w:styleId="ab">
    <w:name w:val="Balloon Text"/>
    <w:basedOn w:val="a"/>
    <w:link w:val="ac"/>
    <w:uiPriority w:val="99"/>
    <w:rsid w:val="00F52AA3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uiPriority w:val="99"/>
    <w:locked/>
    <w:rsid w:val="00F52AA3"/>
    <w:rPr>
      <w:rFonts w:ascii="Cambria" w:eastAsia="新細明體" w:hAnsi="Cambria"/>
      <w:kern w:val="2"/>
      <w:sz w:val="18"/>
    </w:rPr>
  </w:style>
  <w:style w:type="paragraph" w:styleId="11">
    <w:name w:val="toc 1"/>
    <w:basedOn w:val="a"/>
    <w:next w:val="a"/>
    <w:autoRedefine/>
    <w:uiPriority w:val="39"/>
    <w:rsid w:val="00C86252"/>
    <w:pPr>
      <w:tabs>
        <w:tab w:val="right" w:leader="dot" w:pos="8789"/>
      </w:tabs>
      <w:spacing w:line="500" w:lineRule="exact"/>
      <w:ind w:leftChars="354" w:left="1136" w:hanging="286"/>
    </w:pPr>
    <w:rPr>
      <w:sz w:val="28"/>
    </w:rPr>
  </w:style>
  <w:style w:type="paragraph" w:styleId="ad">
    <w:name w:val="footnote text"/>
    <w:basedOn w:val="a"/>
    <w:link w:val="ae"/>
    <w:uiPriority w:val="99"/>
    <w:rsid w:val="004C7A0F"/>
    <w:pPr>
      <w:snapToGrid w:val="0"/>
    </w:pPr>
    <w:rPr>
      <w:sz w:val="20"/>
      <w:szCs w:val="20"/>
    </w:rPr>
  </w:style>
  <w:style w:type="character" w:customStyle="1" w:styleId="ae">
    <w:name w:val="註腳文字 字元"/>
    <w:link w:val="ad"/>
    <w:uiPriority w:val="99"/>
    <w:locked/>
    <w:rsid w:val="004C7A0F"/>
    <w:rPr>
      <w:kern w:val="2"/>
    </w:rPr>
  </w:style>
  <w:style w:type="paragraph" w:styleId="3">
    <w:name w:val="toc 3"/>
    <w:basedOn w:val="a"/>
    <w:next w:val="a"/>
    <w:autoRedefine/>
    <w:uiPriority w:val="99"/>
    <w:rsid w:val="00D906FB"/>
    <w:pPr>
      <w:ind w:leftChars="400" w:left="960"/>
    </w:pPr>
  </w:style>
  <w:style w:type="character" w:styleId="af">
    <w:name w:val="footnote reference"/>
    <w:uiPriority w:val="99"/>
    <w:rsid w:val="004C7A0F"/>
    <w:rPr>
      <w:rFonts w:cs="Times New Roman"/>
      <w:vertAlign w:val="superscript"/>
    </w:rPr>
  </w:style>
  <w:style w:type="paragraph" w:styleId="21">
    <w:name w:val="toc 2"/>
    <w:basedOn w:val="a"/>
    <w:next w:val="a"/>
    <w:autoRedefine/>
    <w:uiPriority w:val="39"/>
    <w:rsid w:val="00C86252"/>
    <w:pPr>
      <w:tabs>
        <w:tab w:val="left" w:leader="middleDot" w:pos="8647"/>
      </w:tabs>
      <w:spacing w:line="500" w:lineRule="exact"/>
      <w:ind w:leftChars="200" w:left="480" w:firstLineChars="150" w:firstLine="420"/>
    </w:pPr>
    <w:rPr>
      <w:sz w:val="28"/>
    </w:rPr>
  </w:style>
  <w:style w:type="paragraph" w:styleId="af0">
    <w:name w:val="TOC Heading"/>
    <w:basedOn w:val="1"/>
    <w:next w:val="a"/>
    <w:uiPriority w:val="99"/>
    <w:qFormat/>
    <w:rsid w:val="00A01C9E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table" w:styleId="-2">
    <w:name w:val="Light Shading Accent 2"/>
    <w:basedOn w:val="a1"/>
    <w:uiPriority w:val="99"/>
    <w:rsid w:val="00364D24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2">
    <w:name w:val="淺色格線1"/>
    <w:uiPriority w:val="99"/>
    <w:rsid w:val="00364D24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淺色格線 - 輔色 11"/>
    <w:uiPriority w:val="99"/>
    <w:rsid w:val="00364D24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0">
    <w:name w:val="Light Grid Accent 2"/>
    <w:basedOn w:val="a1"/>
    <w:uiPriority w:val="99"/>
    <w:rsid w:val="00364D24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新細明體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mbria" w:eastAsia="新細明體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新細明體" w:hAnsi="Cambria" w:cs="Times New Roman"/>
        <w:b/>
        <w:bCs/>
      </w:rPr>
    </w:tblStylePr>
    <w:tblStylePr w:type="lastCol">
      <w:rPr>
        <w:rFonts w:ascii="Cambria" w:eastAsia="新細明體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">
    <w:name w:val="Light Grid Accent 3"/>
    <w:basedOn w:val="a1"/>
    <w:uiPriority w:val="99"/>
    <w:rsid w:val="00364D24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新細明體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新細明體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新細明體" w:hAnsi="Cambria" w:cs="Times New Roman"/>
        <w:b/>
        <w:bCs/>
      </w:rPr>
    </w:tblStylePr>
    <w:tblStylePr w:type="lastCol">
      <w:rPr>
        <w:rFonts w:ascii="Cambria" w:eastAsia="新細明體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1-11">
    <w:name w:val="暗色清單 1 - 輔色 11"/>
    <w:uiPriority w:val="99"/>
    <w:rsid w:val="00364D24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4">
    <w:name w:val="Medium List 1 Accent 4"/>
    <w:basedOn w:val="a1"/>
    <w:uiPriority w:val="99"/>
    <w:rsid w:val="00364D24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新細明體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rPr>
        <w:rFonts w:cs="Times New Roman"/>
      </w:rPr>
      <w:tblPr/>
      <w:tcPr>
        <w:shd w:val="clear" w:color="auto" w:fill="DFD8E8"/>
      </w:tcPr>
    </w:tblStylePr>
    <w:tblStylePr w:type="band1Horz">
      <w:rPr>
        <w:rFonts w:cs="Times New Roman"/>
      </w:rPr>
      <w:tblPr/>
      <w:tcPr>
        <w:shd w:val="clear" w:color="auto" w:fill="DFD8E8"/>
      </w:tcPr>
    </w:tblStylePr>
  </w:style>
  <w:style w:type="table" w:styleId="-30">
    <w:name w:val="Colorful Shading Accent 3"/>
    <w:basedOn w:val="a1"/>
    <w:uiPriority w:val="99"/>
    <w:rsid w:val="00364D24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rPr>
        <w:rFonts w:cs="Times New Roman"/>
      </w:rPr>
      <w:tblPr/>
      <w:tcPr>
        <w:shd w:val="clear" w:color="auto" w:fill="D6E3B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3-2">
    <w:name w:val="Medium Grid 3 Accent 2"/>
    <w:basedOn w:val="a1"/>
    <w:uiPriority w:val="99"/>
    <w:rsid w:val="00927B8F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2-5">
    <w:name w:val="Medium Grid 2 Accent 5"/>
    <w:basedOn w:val="a1"/>
    <w:uiPriority w:val="99"/>
    <w:rsid w:val="00927B8F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6F9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2">
    <w:name w:val="Medium List 2 Accent 2"/>
    <w:basedOn w:val="a1"/>
    <w:uiPriority w:val="99"/>
    <w:rsid w:val="00927B8F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3">
    <w:name w:val="Medium List 2 Accent 3"/>
    <w:basedOn w:val="a1"/>
    <w:uiPriority w:val="99"/>
    <w:rsid w:val="00927B8F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4">
    <w:name w:val="Medium List 2 Accent 4"/>
    <w:basedOn w:val="a1"/>
    <w:uiPriority w:val="99"/>
    <w:rsid w:val="00927B8F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1-2">
    <w:name w:val="Medium Shading 1 Accent 2"/>
    <w:basedOn w:val="a1"/>
    <w:uiPriority w:val="99"/>
    <w:rsid w:val="00927B8F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uiPriority w:val="99"/>
    <w:rsid w:val="00927B8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Colorful 1"/>
    <w:basedOn w:val="a1"/>
    <w:uiPriority w:val="99"/>
    <w:rsid w:val="00927B8F"/>
    <w:pPr>
      <w:widowControl w:val="0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5">
    <w:name w:val="Light List Accent 5"/>
    <w:basedOn w:val="a1"/>
    <w:uiPriority w:val="99"/>
    <w:rsid w:val="00927B8F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50">
    <w:name w:val="Light Grid Accent 5"/>
    <w:basedOn w:val="a1"/>
    <w:uiPriority w:val="99"/>
    <w:rsid w:val="00927B8F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新細明體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新細明體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新細明體" w:hAnsi="Cambria" w:cs="Times New Roman"/>
        <w:b/>
        <w:bCs/>
      </w:rPr>
    </w:tblStylePr>
    <w:tblStylePr w:type="lastCol">
      <w:rPr>
        <w:rFonts w:ascii="Cambria" w:eastAsia="新細明體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">
    <w:name w:val="Light Shading Accent 6"/>
    <w:basedOn w:val="a1"/>
    <w:uiPriority w:val="99"/>
    <w:rsid w:val="00927B8F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30">
    <w:name w:val="Table Colorful 3"/>
    <w:basedOn w:val="a1"/>
    <w:uiPriority w:val="99"/>
    <w:rsid w:val="00927B8F"/>
    <w:pPr>
      <w:widowControl w:val="0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31">
    <w:name w:val="Table Grid 3"/>
    <w:basedOn w:val="a1"/>
    <w:uiPriority w:val="99"/>
    <w:rsid w:val="00927B8F"/>
    <w:pPr>
      <w:widowControl w:val="0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4">
    <w:name w:val="Light List Accent 4"/>
    <w:basedOn w:val="a1"/>
    <w:uiPriority w:val="99"/>
    <w:rsid w:val="00927B8F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40">
    <w:name w:val="Light Grid Accent 4"/>
    <w:basedOn w:val="a1"/>
    <w:uiPriority w:val="99"/>
    <w:rsid w:val="00927B8F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新細明體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新細明體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新細明體" w:hAnsi="Cambria" w:cs="Times New Roman"/>
        <w:b/>
        <w:bCs/>
      </w:rPr>
    </w:tblStylePr>
    <w:tblStylePr w:type="lastCol">
      <w:rPr>
        <w:rFonts w:ascii="Cambria" w:eastAsia="新細明體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60">
    <w:name w:val="Light List Accent 6"/>
    <w:basedOn w:val="a1"/>
    <w:uiPriority w:val="99"/>
    <w:rsid w:val="00927B8F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1-6">
    <w:name w:val="Medium Shading 1 Accent 6"/>
    <w:basedOn w:val="a1"/>
    <w:uiPriority w:val="99"/>
    <w:rsid w:val="00927B8F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-61">
    <w:name w:val="Light Grid Accent 6"/>
    <w:basedOn w:val="a1"/>
    <w:uiPriority w:val="99"/>
    <w:rsid w:val="00927B8F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新細明體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Cambria" w:eastAsia="新細明體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新細明體" w:hAnsi="Cambria" w:cs="Times New Roman"/>
        <w:b/>
        <w:bCs/>
      </w:rPr>
    </w:tblStylePr>
    <w:tblStylePr w:type="lastCol">
      <w:rPr>
        <w:rFonts w:ascii="Cambria" w:eastAsia="新細明體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3-5">
    <w:name w:val="Medium Grid 3 Accent 5"/>
    <w:basedOn w:val="a1"/>
    <w:uiPriority w:val="99"/>
    <w:rsid w:val="006C7B1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1-3">
    <w:name w:val="Medium Grid 1 Accent 3"/>
    <w:basedOn w:val="a1"/>
    <w:uiPriority w:val="99"/>
    <w:rsid w:val="00EC51CF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1-5">
    <w:name w:val="Medium Grid 1 Accent 5"/>
    <w:basedOn w:val="a1"/>
    <w:uiPriority w:val="99"/>
    <w:rsid w:val="00EC51CF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table" w:styleId="-41">
    <w:name w:val="Colorful Grid Accent 4"/>
    <w:basedOn w:val="a1"/>
    <w:uiPriority w:val="99"/>
    <w:rsid w:val="00AD0B0C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rFonts w:cs="Times New Roman"/>
        <w:b/>
        <w:bCs/>
      </w:rPr>
      <w:tblPr/>
      <w:tcPr>
        <w:shd w:val="clear" w:color="auto" w:fill="CCC0D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CCC0D9"/>
      </w:tcPr>
    </w:tblStylePr>
    <w:tblStylePr w:type="firstCol">
      <w:rPr>
        <w:rFonts w:cs="Times New Roman"/>
        <w:color w:val="FFFFFF"/>
      </w:rPr>
      <w:tblPr/>
      <w:tcPr>
        <w:shd w:val="clear" w:color="auto" w:fill="5F497A"/>
      </w:tcPr>
    </w:tblStylePr>
    <w:tblStylePr w:type="lastCol">
      <w:rPr>
        <w:rFonts w:cs="Times New Roman"/>
        <w:color w:val="FFFFFF"/>
      </w:rPr>
      <w:tblPr/>
      <w:tcPr>
        <w:shd w:val="clear" w:color="auto" w:fill="5F497A"/>
      </w:tc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</w:style>
  <w:style w:type="table" w:styleId="3-4">
    <w:name w:val="Medium Grid 3 Accent 4"/>
    <w:basedOn w:val="a1"/>
    <w:uiPriority w:val="99"/>
    <w:rsid w:val="00AD0B0C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-21">
    <w:name w:val="Colorful List Accent 2"/>
    <w:basedOn w:val="a1"/>
    <w:uiPriority w:val="99"/>
    <w:rsid w:val="00AD0B0C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shd w:val="clear" w:color="auto" w:fill="F2DBDB"/>
      </w:tcPr>
    </w:tblStylePr>
  </w:style>
  <w:style w:type="table" w:customStyle="1" w:styleId="1-110">
    <w:name w:val="暗色網底 1 - 輔色 11"/>
    <w:uiPriority w:val="99"/>
    <w:rsid w:val="004D64BB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99"/>
    <w:qFormat/>
    <w:rsid w:val="00FF4189"/>
    <w:pPr>
      <w:ind w:leftChars="200" w:left="480"/>
    </w:pPr>
  </w:style>
  <w:style w:type="paragraph" w:customStyle="1" w:styleId="110">
    <w:name w:val="字元 字元1 字元 字元 字元1 字元 字元 字元 字元 字元 字元 字元 字元"/>
    <w:basedOn w:val="a"/>
    <w:uiPriority w:val="99"/>
    <w:semiHidden/>
    <w:rsid w:val="004D4EFC"/>
    <w:pPr>
      <w:widowControl/>
      <w:spacing w:after="160" w:line="240" w:lineRule="exact"/>
    </w:pPr>
    <w:rPr>
      <w:rFonts w:ascii="Verdana" w:hAnsi="Verdana" w:cs="Mangal"/>
      <w:sz w:val="20"/>
      <w:lang w:eastAsia="en-US" w:bidi="hi-IN"/>
    </w:rPr>
  </w:style>
  <w:style w:type="paragraph" w:customStyle="1" w:styleId="14">
    <w:name w:val="樣式1"/>
    <w:basedOn w:val="1"/>
    <w:link w:val="15"/>
    <w:autoRedefine/>
    <w:uiPriority w:val="99"/>
    <w:rsid w:val="00B74030"/>
    <w:rPr>
      <w:rFonts w:eastAsia="標楷體"/>
      <w:sz w:val="32"/>
    </w:rPr>
  </w:style>
  <w:style w:type="paragraph" w:customStyle="1" w:styleId="22">
    <w:name w:val="樣式2"/>
    <w:basedOn w:val="14"/>
    <w:link w:val="23"/>
    <w:autoRedefine/>
    <w:uiPriority w:val="99"/>
    <w:rsid w:val="0038271A"/>
    <w:pPr>
      <w:spacing w:before="0" w:after="120" w:line="240" w:lineRule="auto"/>
    </w:pPr>
  </w:style>
  <w:style w:type="character" w:customStyle="1" w:styleId="15">
    <w:name w:val="樣式1 字元"/>
    <w:link w:val="14"/>
    <w:uiPriority w:val="99"/>
    <w:locked/>
    <w:rsid w:val="00B74030"/>
    <w:rPr>
      <w:rFonts w:ascii="Cambria" w:eastAsia="標楷體" w:hAnsi="Cambria"/>
      <w:b/>
      <w:kern w:val="52"/>
      <w:sz w:val="52"/>
      <w:lang w:val="x-none" w:eastAsia="x-none"/>
    </w:rPr>
  </w:style>
  <w:style w:type="paragraph" w:styleId="Web">
    <w:name w:val="Normal (Web)"/>
    <w:basedOn w:val="a"/>
    <w:uiPriority w:val="99"/>
    <w:rsid w:val="00B7403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23">
    <w:name w:val="樣式2 字元"/>
    <w:link w:val="22"/>
    <w:uiPriority w:val="99"/>
    <w:locked/>
    <w:rsid w:val="0038271A"/>
    <w:rPr>
      <w:rFonts w:ascii="Cambria" w:eastAsia="標楷體" w:hAnsi="Cambria"/>
      <w:b/>
      <w:bCs/>
      <w:kern w:val="52"/>
      <w:sz w:val="32"/>
      <w:szCs w:val="52"/>
    </w:rPr>
  </w:style>
  <w:style w:type="character" w:styleId="af2">
    <w:name w:val="Placeholder Text"/>
    <w:basedOn w:val="a0"/>
    <w:uiPriority w:val="99"/>
    <w:semiHidden/>
    <w:rsid w:val="00061CBD"/>
    <w:rPr>
      <w:color w:val="808080"/>
    </w:rPr>
  </w:style>
  <w:style w:type="paragraph" w:styleId="af3">
    <w:name w:val="Quote"/>
    <w:basedOn w:val="a"/>
    <w:next w:val="a"/>
    <w:link w:val="af4"/>
    <w:uiPriority w:val="29"/>
    <w:qFormat/>
    <w:rsid w:val="00C86252"/>
    <w:pPr>
      <w:spacing w:beforeLines="30" w:before="30"/>
      <w:ind w:firstLineChars="200" w:firstLine="200"/>
    </w:pPr>
    <w:rPr>
      <w:rFonts w:eastAsia="標楷體"/>
      <w:i/>
      <w:iCs/>
      <w:color w:val="000000"/>
    </w:rPr>
  </w:style>
  <w:style w:type="character" w:customStyle="1" w:styleId="af4">
    <w:name w:val="引文 字元"/>
    <w:basedOn w:val="a0"/>
    <w:link w:val="af3"/>
    <w:uiPriority w:val="29"/>
    <w:rsid w:val="00C86252"/>
    <w:rPr>
      <w:rFonts w:eastAsia="標楷體"/>
      <w:i/>
      <w:iCs/>
      <w:color w:val="000000"/>
      <w:kern w:val="2"/>
      <w:sz w:val="24"/>
      <w:szCs w:val="24"/>
    </w:rPr>
  </w:style>
  <w:style w:type="character" w:styleId="af5">
    <w:name w:val="Subtle Emphasis"/>
    <w:uiPriority w:val="19"/>
    <w:qFormat/>
    <w:rsid w:val="0038271A"/>
    <w:rPr>
      <w:i/>
      <w:iCs/>
      <w:color w:val="F07F0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62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18" Type="http://schemas.openxmlformats.org/officeDocument/2006/relationships/chart" Target="charts/chart4.xml"/><Relationship Id="rId26" Type="http://schemas.openxmlformats.org/officeDocument/2006/relationships/image" Target="media/image12.emf"/><Relationship Id="rId39" Type="http://schemas.openxmlformats.org/officeDocument/2006/relationships/image" Target="media/image20.emf"/><Relationship Id="rId3" Type="http://schemas.openxmlformats.org/officeDocument/2006/relationships/styles" Target="styles.xml"/><Relationship Id="rId21" Type="http://schemas.openxmlformats.org/officeDocument/2006/relationships/chart" Target="charts/chart5.xml"/><Relationship Id="rId34" Type="http://schemas.openxmlformats.org/officeDocument/2006/relationships/image" Target="media/image17.emf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6.emf"/><Relationship Id="rId25" Type="http://schemas.openxmlformats.org/officeDocument/2006/relationships/image" Target="media/image11.png"/><Relationship Id="rId33" Type="http://schemas.openxmlformats.org/officeDocument/2006/relationships/chart" Target="charts/chart9.xml"/><Relationship Id="rId38" Type="http://schemas.openxmlformats.org/officeDocument/2006/relationships/chart" Target="charts/chart11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image" Target="media/image8.emf"/><Relationship Id="rId29" Type="http://schemas.openxmlformats.org/officeDocument/2006/relationships/image" Target="media/image14.e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0.emf"/><Relationship Id="rId32" Type="http://schemas.openxmlformats.org/officeDocument/2006/relationships/image" Target="media/image16.emf"/><Relationship Id="rId37" Type="http://schemas.openxmlformats.org/officeDocument/2006/relationships/image" Target="media/image19.emf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23" Type="http://schemas.openxmlformats.org/officeDocument/2006/relationships/chart" Target="charts/chart6.xml"/><Relationship Id="rId28" Type="http://schemas.openxmlformats.org/officeDocument/2006/relationships/image" Target="media/image13.emf"/><Relationship Id="rId36" Type="http://schemas.openxmlformats.org/officeDocument/2006/relationships/chart" Target="charts/chart10.xml"/><Relationship Id="rId10" Type="http://schemas.openxmlformats.org/officeDocument/2006/relationships/header" Target="header1.xml"/><Relationship Id="rId19" Type="http://schemas.openxmlformats.org/officeDocument/2006/relationships/image" Target="media/image7.emf"/><Relationship Id="rId31" Type="http://schemas.openxmlformats.org/officeDocument/2006/relationships/image" Target="media/image15.e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hart" Target="charts/chart2.xml"/><Relationship Id="rId22" Type="http://schemas.openxmlformats.org/officeDocument/2006/relationships/image" Target="media/image9.emf"/><Relationship Id="rId27" Type="http://schemas.openxmlformats.org/officeDocument/2006/relationships/chart" Target="charts/chart7.xml"/><Relationship Id="rId30" Type="http://schemas.openxmlformats.org/officeDocument/2006/relationships/chart" Target="charts/chart8.xml"/><Relationship Id="rId35" Type="http://schemas.openxmlformats.org/officeDocument/2006/relationships/image" Target="media/image18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102&#34907;&#29983;&#31119;&#21033;&#32113;&#35336;&#21205;&#21521;&#21450;&#25351;&#27161;\&#21205;&#21521;\1021105&#28415;\&#20302;&#25910;&#20837;&#21450;&#20013;&#20302;&#25910;&#20837;&#25142;&#20154;&#25976;1021126.xlsx" TargetMode="External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oleObject" Target="file:///D:\102&#34907;&#31119;&#37096;\&#32113;&#35336;&#21205;&#21521;\1&#31038;&#26371;&#20445;&#38570;\&#22283;&#27665;&#24180;&#37329;.xlsx" TargetMode="External"/><Relationship Id="rId1" Type="http://schemas.openxmlformats.org/officeDocument/2006/relationships/themeOverride" Target="../theme/themeOverride6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102&#34907;&#31119;&#37096;\101&#32113;&#35336;&#21205;&#21521;\1&#31038;&#26371;&#20445;&#38570;\02&#22283;&#27665;&#24180;&#37329;&#26680;&#20184;&#31278;&#39006;\&#22283;&#27665;&#24180;&#37329;&#32102;&#20184;&#31278;&#39006;.xlsx" TargetMode="External"/><Relationship Id="rId1" Type="http://schemas.openxmlformats.org/officeDocument/2006/relationships/themeOverride" Target="../theme/themeOverride7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102&#34907;&#31119;&#37096;\101&#32113;&#35336;&#21205;&#21521;\2&#31038;&#26371;&#25937;&#21161;\2&#20854;&#20182;&#25937;&#21161;\&#37291;&#30274;&#24613;&#38627;&#28797;&#23475;&#25937;&#21161;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102&#24180;\102&#34907;&#31119;&#37096;\101&#32113;&#35336;&#21205;&#21521;\2&#31038;&#26371;&#31119;&#21033;\01&#20818;&#23569;\0201&#20818;&#23569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102&#34907;&#31119;&#37096;\101&#32113;&#35336;&#21205;&#21521;\2&#31038;&#26371;&#31119;&#21033;\02&#23142;&#22899;\&#23142;&#22899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102&#24180;\102&#34907;&#31119;&#37096;\101&#32113;&#35336;&#21205;&#21521;\2&#31038;&#26371;&#31119;&#21033;\03&#32769;&#20154;\0203&#32769;&#20154;(&#31185;&#38263;&#20462;&#27491;&#29256;1021204)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D:\102&#34907;&#29983;&#31119;&#21033;&#32113;&#35336;&#21205;&#21521;&#21450;&#25351;&#27161;\&#21205;&#21521;\1021105&#28415;\&#36523;&#38556;&#31119;&#21033;1021203.xlsx" TargetMode="External"/><Relationship Id="rId1" Type="http://schemas.openxmlformats.org/officeDocument/2006/relationships/themeOverride" Target="../theme/themeOverride3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file:///D:\102&#34907;&#31119;&#37096;\101&#32113;&#35336;&#21205;&#21521;\4&#31038;&#26371;&#20445;&#35703;\02&#23478;&#26292;\&#23478;&#26292;.xlsx" TargetMode="External"/><Relationship Id="rId1" Type="http://schemas.openxmlformats.org/officeDocument/2006/relationships/themeOverride" Target="../theme/themeOverride4.xm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102&#24180;\102&#34907;&#31119;&#37096;\101&#32113;&#35336;&#21205;&#21521;\3&#31038;&#26371;&#20445;&#35703;\03&#24615;&#20405;\0303&#24615;&#20405;&#23475;.xlsx" TargetMode="Externa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D:\102&#34907;&#31119;&#37096;\101&#32113;&#35336;&#21205;&#21521;\4&#31038;&#26371;&#20445;&#35703;\04&#24615;&#39479;&#25854;\&#24615;&#39479;&#25854;.xlsx" TargetMode="External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  <c:spPr>
        <a:noFill/>
        <a:ln>
          <a:noFill/>
        </a:ln>
      </c:spPr>
    </c:sideWall>
    <c:backWall>
      <c:thickness val="0"/>
      <c:spPr>
        <a:noFill/>
        <a:ln>
          <a:noFill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'表 中低收入戶'!$A$9</c:f>
              <c:strCache>
                <c:ptCount val="1"/>
                <c:pt idx="0">
                  <c:v>100年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7502606694711107E-3"/>
                  <c:y val="-3.555695538057742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3.16049431873149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'表 中低收入戶'!$B$2:$C$8</c:f>
              <c:strCache>
                <c:ptCount val="2"/>
                <c:pt idx="0">
                  <c:v>戶數</c:v>
                </c:pt>
                <c:pt idx="1">
                  <c:v>人數</c:v>
                </c:pt>
              </c:strCache>
            </c:strRef>
          </c:cat>
          <c:val>
            <c:numRef>
              <c:f>'表 中低收入戶'!$B$9:$C$9</c:f>
              <c:numCache>
                <c:formatCode>#,##0</c:formatCode>
                <c:ptCount val="2"/>
                <c:pt idx="0">
                  <c:v>35420</c:v>
                </c:pt>
                <c:pt idx="1">
                  <c:v>120042</c:v>
                </c:pt>
              </c:numCache>
            </c:numRef>
          </c:val>
        </c:ser>
        <c:ser>
          <c:idx val="1"/>
          <c:order val="1"/>
          <c:tx>
            <c:strRef>
              <c:f>'表 中低收入戶'!$A$10</c:f>
              <c:strCache>
                <c:ptCount val="1"/>
                <c:pt idx="0">
                  <c:v>101年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6666666666666666E-2"/>
                  <c:y val="-7.90123579682874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4041203753640385E-2"/>
                  <c:y val="-8.88902887139107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'表 中低收入戶'!$B$2:$C$8</c:f>
              <c:strCache>
                <c:ptCount val="2"/>
                <c:pt idx="0">
                  <c:v>戶數</c:v>
                </c:pt>
                <c:pt idx="1">
                  <c:v>人數</c:v>
                </c:pt>
              </c:strCache>
            </c:strRef>
          </c:cat>
          <c:val>
            <c:numRef>
              <c:f>'表 中低收入戶'!$B$10:$C$10</c:f>
              <c:numCache>
                <c:formatCode>#,##0</c:formatCode>
                <c:ptCount val="2"/>
                <c:pt idx="0">
                  <c:v>88988</c:v>
                </c:pt>
                <c:pt idx="1">
                  <c:v>282019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312224384"/>
        <c:axId val="312230272"/>
        <c:axId val="0"/>
      </c:bar3DChart>
      <c:catAx>
        <c:axId val="312224384"/>
        <c:scaling>
          <c:orientation val="minMax"/>
        </c:scaling>
        <c:delete val="0"/>
        <c:axPos val="b"/>
        <c:majorTickMark val="out"/>
        <c:minorTickMark val="none"/>
        <c:tickLblPos val="nextTo"/>
        <c:crossAx val="312230272"/>
        <c:crosses val="autoZero"/>
        <c:auto val="1"/>
        <c:lblAlgn val="ctr"/>
        <c:lblOffset val="100"/>
        <c:noMultiLvlLbl val="0"/>
      </c:catAx>
      <c:valAx>
        <c:axId val="312230272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31222438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>
          <a:latin typeface="Times New Roman" pitchFamily="18" charset="0"/>
          <a:ea typeface="標楷體" pitchFamily="65" charset="-120"/>
          <a:cs typeface="Times New Roman" pitchFamily="18" charset="0"/>
        </a:defRPr>
      </a:pPr>
      <a:endParaRPr lang="zh-TW"/>
    </a:p>
  </c:tx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13"/>
    </mc:Choice>
    <mc:Fallback>
      <c:style val="13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7361111111111114"/>
          <c:y val="0.15972222222222221"/>
          <c:w val="0.46388888888888891"/>
          <c:h val="0.77314814814814814"/>
        </c:manualLayout>
      </c:layout>
      <c:pieChart>
        <c:varyColors val="1"/>
        <c:ser>
          <c:idx val="0"/>
          <c:order val="0"/>
          <c:tx>
            <c:strRef>
              <c:f>圖1!$B$9</c:f>
              <c:strCache>
                <c:ptCount val="1"/>
                <c:pt idx="0">
                  <c:v>101年</c:v>
                </c:pt>
              </c:strCache>
            </c:strRef>
          </c:tx>
          <c:dLbls>
            <c:dLbl>
              <c:idx val="0"/>
              <c:layout>
                <c:manualLayout>
                  <c:x val="-0.11100503062117235"/>
                  <c:y val="-0.28472222222222221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zh-TW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4.1454505686789149E-3"/>
                  <c:y val="8.3451443569553807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2.4282589676290465E-2"/>
                  <c:y val="1.2755176436278811E-3"/>
                </c:manualLayout>
              </c:layout>
              <c:tx>
                <c:rich>
                  <a:bodyPr/>
                  <a:lstStyle/>
                  <a:p>
                    <a:r>
                      <a:rPr lang="zh-TW" altLang="en-US"/>
                      <a:t>所得未達</a:t>
                    </a:r>
                    <a:endParaRPr lang="en-US" altLang="zh-TW"/>
                  </a:p>
                  <a:p>
                    <a:r>
                      <a:rPr lang="zh-TW" altLang="en-US"/>
                      <a:t>一定標準
</a:t>
                    </a:r>
                    <a:r>
                      <a:rPr lang="en-US" altLang="zh-TW"/>
                      <a:t>4.94%</a:t>
                    </a:r>
                    <a:endParaRPr lang="zh-TW" altLang="en-US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5.6413495188101487E-2"/>
                  <c:y val="-3.3683289588801402E-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.00%" sourceLinked="0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圖1!$C$4:$F$4</c:f>
              <c:strCache>
                <c:ptCount val="4"/>
                <c:pt idx="0">
                  <c:v>一般身分</c:v>
                </c:pt>
                <c:pt idx="1">
                  <c:v>身心障礙者</c:v>
                </c:pt>
                <c:pt idx="2">
                  <c:v>所得未達一定標準</c:v>
                </c:pt>
                <c:pt idx="3">
                  <c:v>低收入戶 </c:v>
                </c:pt>
              </c:strCache>
            </c:strRef>
          </c:cat>
          <c:val>
            <c:numRef>
              <c:f>圖1!$C$9:$F$9</c:f>
              <c:numCache>
                <c:formatCode>0</c:formatCode>
                <c:ptCount val="4"/>
                <c:pt idx="0">
                  <c:v>322.0523</c:v>
                </c:pt>
                <c:pt idx="1">
                  <c:v>24.8294</c:v>
                </c:pt>
                <c:pt idx="2">
                  <c:v>18.4193</c:v>
                </c:pt>
                <c:pt idx="3">
                  <c:v>7.2615999999999996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>
          <a:latin typeface="Times New Roman" pitchFamily="18" charset="0"/>
          <a:ea typeface="標楷體" pitchFamily="65" charset="-120"/>
          <a:cs typeface="Times New Roman" pitchFamily="18" charset="0"/>
        </a:defRPr>
      </a:pPr>
      <a:endParaRPr lang="zh-TW"/>
    </a:p>
  </c:tx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13"/>
    </mc:Choice>
    <mc:Fallback>
      <c:style val="13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563845360914044"/>
          <c:y val="0.26286545329374811"/>
          <c:w val="0.74359723255277133"/>
          <c:h val="0.72270471038765582"/>
        </c:manualLayout>
      </c:layout>
      <c:pieChart>
        <c:varyColors val="1"/>
        <c:ser>
          <c:idx val="0"/>
          <c:order val="0"/>
          <c:dPt>
            <c:idx val="0"/>
            <c:bubble3D val="0"/>
            <c:explosion val="2"/>
          </c:dPt>
          <c:dLbls>
            <c:dLbl>
              <c:idx val="0"/>
              <c:numFmt formatCode="0.00%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zh-TW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numFmt formatCode="0.00%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zh-TW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9.9308230035601991E-2"/>
                  <c:y val="0.1321991191778993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0.12888438450144227"/>
                  <c:y val="-3.2889363405845452E-2"/>
                </c:manualLayout>
              </c:layout>
              <c:tx>
                <c:rich>
                  <a:bodyPr/>
                  <a:lstStyle/>
                  <a:p>
                    <a:r>
                      <a:rPr lang="zh-TW" altLang="en-US"/>
                      <a:t>遺屬年</a:t>
                    </a:r>
                    <a:endParaRPr lang="en-US" altLang="zh-TW"/>
                  </a:p>
                  <a:p>
                    <a:r>
                      <a:rPr lang="zh-TW" altLang="en-US"/>
                      <a:t>金給付
</a:t>
                    </a:r>
                    <a:r>
                      <a:rPr lang="en-US" altLang="zh-TW"/>
                      <a:t>2.88%</a:t>
                    </a:r>
                    <a:endParaRPr lang="zh-TW" altLang="en-US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1.7251803920549535E-2"/>
                  <c:y val="0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0.10269067851667056"/>
                  <c:y val="-8.1520352328840251E-2"/>
                </c:manualLayout>
              </c:layout>
              <c:tx>
                <c:rich>
                  <a:bodyPr/>
                  <a:lstStyle/>
                  <a:p>
                    <a:r>
                      <a:rPr lang="zh-TW" altLang="en-US"/>
                      <a:t>原住民</a:t>
                    </a:r>
                    <a:endParaRPr lang="en-US" altLang="zh-TW"/>
                  </a:p>
                  <a:p>
                    <a:r>
                      <a:rPr lang="zh-TW" altLang="en-US"/>
                      <a:t>給付
</a:t>
                    </a:r>
                    <a:r>
                      <a:rPr lang="en-US" altLang="zh-TW"/>
                      <a:t>2.40%</a:t>
                    </a:r>
                    <a:endParaRPr lang="zh-TW" altLang="en-US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0.20542744038183347"/>
                  <c:y val="-7.8803505494016643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0.35517666727302649"/>
                  <c:y val="-1.6602162017883358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.00%" sourceLinked="0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圖!$C$2:$J$2</c:f>
              <c:strCache>
                <c:ptCount val="8"/>
                <c:pt idx="0">
                  <c:v>老年基本保證年金</c:v>
                </c:pt>
                <c:pt idx="1">
                  <c:v>老年年金給付</c:v>
                </c:pt>
                <c:pt idx="2">
                  <c:v>喪葬給付</c:v>
                </c:pt>
                <c:pt idx="3">
                  <c:v>遺屬年金給付</c:v>
                </c:pt>
                <c:pt idx="4">
                  <c:v>身心障礙基本保證年金</c:v>
                </c:pt>
                <c:pt idx="5">
                  <c:v>原住民給付</c:v>
                </c:pt>
                <c:pt idx="6">
                  <c:v>生育給付</c:v>
                </c:pt>
                <c:pt idx="7">
                  <c:v>身心障礙年金給付</c:v>
                </c:pt>
              </c:strCache>
            </c:strRef>
          </c:cat>
          <c:val>
            <c:numRef>
              <c:f>圖!$C$3:$J$3</c:f>
              <c:numCache>
                <c:formatCode>#,##0</c:formatCode>
                <c:ptCount val="8"/>
                <c:pt idx="0">
                  <c:v>33622.881600000001</c:v>
                </c:pt>
                <c:pt idx="1">
                  <c:v>13391.9344</c:v>
                </c:pt>
                <c:pt idx="2">
                  <c:v>1629.4176</c:v>
                </c:pt>
                <c:pt idx="3">
                  <c:v>1533.4969000000001</c:v>
                </c:pt>
                <c:pt idx="4">
                  <c:v>1297.8507999999999</c:v>
                </c:pt>
                <c:pt idx="5">
                  <c:v>1278.3254999999999</c:v>
                </c:pt>
                <c:pt idx="6">
                  <c:v>350.69760000000002</c:v>
                </c:pt>
                <c:pt idx="7">
                  <c:v>179.03360000000001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>
          <a:latin typeface="Times New Roman" pitchFamily="18" charset="0"/>
          <a:ea typeface="標楷體" pitchFamily="65" charset="-120"/>
          <a:cs typeface="Times New Roman" pitchFamily="18" charset="0"/>
        </a:defRPr>
      </a:pPr>
      <a:endParaRPr lang="zh-TW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  <c:spPr>
        <a:noFill/>
        <a:ln>
          <a:noFill/>
        </a:ln>
      </c:spPr>
    </c:sideWall>
    <c:backWall>
      <c:thickness val="0"/>
      <c:spPr>
        <a:noFill/>
        <a:ln>
          <a:noFill/>
        </a:ln>
      </c:spPr>
    </c:backWall>
    <c:plotArea>
      <c:layout/>
      <c:bar3DChart>
        <c:barDir val="col"/>
        <c:grouping val="clustered"/>
        <c:varyColors val="0"/>
        <c:ser>
          <c:idx val="1"/>
          <c:order val="0"/>
          <c:tx>
            <c:strRef>
              <c:f>圖!$C$2</c:f>
              <c:strCache>
                <c:ptCount val="1"/>
                <c:pt idx="0">
                  <c:v>醫療補助</c:v>
                </c:pt>
              </c:strCache>
            </c:strRef>
          </c:tx>
          <c:invertIfNegative val="0"/>
          <c:cat>
            <c:strRef>
              <c:f>圖!$A$9:$A$13</c:f>
              <c:strCache>
                <c:ptCount val="5"/>
                <c:pt idx="0">
                  <c:v>97年</c:v>
                </c:pt>
                <c:pt idx="1">
                  <c:v>98年</c:v>
                </c:pt>
                <c:pt idx="2">
                  <c:v>99年</c:v>
                </c:pt>
                <c:pt idx="3">
                  <c:v>100年</c:v>
                </c:pt>
                <c:pt idx="4">
                  <c:v>101年</c:v>
                </c:pt>
              </c:strCache>
            </c:strRef>
          </c:cat>
          <c:val>
            <c:numRef>
              <c:f>圖!$C$9:$C$13</c:f>
              <c:numCache>
                <c:formatCode>_-* #,##0_-;\-* #,##0_-;_-* "-"??_-;_-@_-</c:formatCode>
                <c:ptCount val="5"/>
                <c:pt idx="0">
                  <c:v>56.27</c:v>
                </c:pt>
                <c:pt idx="1">
                  <c:v>66.39</c:v>
                </c:pt>
                <c:pt idx="2">
                  <c:v>64.03</c:v>
                </c:pt>
                <c:pt idx="3">
                  <c:v>70.92</c:v>
                </c:pt>
                <c:pt idx="4">
                  <c:v>71.760000000000005</c:v>
                </c:pt>
              </c:numCache>
            </c:numRef>
          </c:val>
        </c:ser>
        <c:ser>
          <c:idx val="2"/>
          <c:order val="1"/>
          <c:tx>
            <c:strRef>
              <c:f>圖!$D$2</c:f>
              <c:strCache>
                <c:ptCount val="1"/>
                <c:pt idx="0">
                  <c:v>看護補助</c:v>
                </c:pt>
              </c:strCache>
            </c:strRef>
          </c:tx>
          <c:invertIfNegative val="0"/>
          <c:cat>
            <c:strRef>
              <c:f>圖!$A$9:$A$13</c:f>
              <c:strCache>
                <c:ptCount val="5"/>
                <c:pt idx="0">
                  <c:v>97年</c:v>
                </c:pt>
                <c:pt idx="1">
                  <c:v>98年</c:v>
                </c:pt>
                <c:pt idx="2">
                  <c:v>99年</c:v>
                </c:pt>
                <c:pt idx="3">
                  <c:v>100年</c:v>
                </c:pt>
                <c:pt idx="4">
                  <c:v>101年</c:v>
                </c:pt>
              </c:strCache>
            </c:strRef>
          </c:cat>
          <c:val>
            <c:numRef>
              <c:f>圖!$D$9:$D$13</c:f>
            </c:numRef>
          </c:val>
        </c:ser>
        <c:ser>
          <c:idx val="4"/>
          <c:order val="2"/>
          <c:tx>
            <c:strRef>
              <c:f>圖!$E$2</c:f>
              <c:strCache>
                <c:ptCount val="1"/>
                <c:pt idx="0">
                  <c:v>急難救助</c:v>
                </c:pt>
              </c:strCache>
            </c:strRef>
          </c:tx>
          <c:invertIfNegative val="0"/>
          <c:cat>
            <c:strRef>
              <c:f>圖!$A$9:$A$13</c:f>
              <c:strCache>
                <c:ptCount val="5"/>
                <c:pt idx="0">
                  <c:v>97年</c:v>
                </c:pt>
                <c:pt idx="1">
                  <c:v>98年</c:v>
                </c:pt>
                <c:pt idx="2">
                  <c:v>99年</c:v>
                </c:pt>
                <c:pt idx="3">
                  <c:v>100年</c:v>
                </c:pt>
                <c:pt idx="4">
                  <c:v>101年</c:v>
                </c:pt>
              </c:strCache>
            </c:strRef>
          </c:cat>
          <c:val>
            <c:numRef>
              <c:f>圖!$E$9:$E$13</c:f>
              <c:numCache>
                <c:formatCode>_-* #,##0_-;\-* #,##0_-;_-* "-"??_-;_-@_-</c:formatCode>
                <c:ptCount val="5"/>
                <c:pt idx="0">
                  <c:v>273.66000000000003</c:v>
                </c:pt>
                <c:pt idx="1">
                  <c:v>245.76</c:v>
                </c:pt>
                <c:pt idx="2">
                  <c:v>283.73</c:v>
                </c:pt>
                <c:pt idx="3">
                  <c:v>274.23</c:v>
                </c:pt>
                <c:pt idx="4">
                  <c:v>269.10000000000002</c:v>
                </c:pt>
              </c:numCache>
            </c:numRef>
          </c:val>
        </c:ser>
        <c:ser>
          <c:idx val="3"/>
          <c:order val="3"/>
          <c:tx>
            <c:strRef>
              <c:f>圖!$F$2</c:f>
              <c:strCache>
                <c:ptCount val="1"/>
                <c:pt idx="0">
                  <c:v>災害救助</c:v>
                </c:pt>
              </c:strCache>
            </c:strRef>
          </c:tx>
          <c:invertIfNegative val="0"/>
          <c:cat>
            <c:strRef>
              <c:f>圖!$A$9:$A$13</c:f>
              <c:strCache>
                <c:ptCount val="5"/>
                <c:pt idx="0">
                  <c:v>97年</c:v>
                </c:pt>
                <c:pt idx="1">
                  <c:v>98年</c:v>
                </c:pt>
                <c:pt idx="2">
                  <c:v>99年</c:v>
                </c:pt>
                <c:pt idx="3">
                  <c:v>100年</c:v>
                </c:pt>
                <c:pt idx="4">
                  <c:v>101年</c:v>
                </c:pt>
              </c:strCache>
            </c:strRef>
          </c:cat>
          <c:val>
            <c:numRef>
              <c:f>圖!$F$9:$F$13</c:f>
              <c:numCache>
                <c:formatCode>_-* #,##0_-;\-* #,##0_-;_-* "-"??_-;_-@_-</c:formatCode>
                <c:ptCount val="5"/>
                <c:pt idx="0">
                  <c:v>188.7</c:v>
                </c:pt>
                <c:pt idx="1">
                  <c:v>821.8</c:v>
                </c:pt>
                <c:pt idx="2">
                  <c:v>792.26</c:v>
                </c:pt>
                <c:pt idx="3">
                  <c:v>46.72</c:v>
                </c:pt>
                <c:pt idx="4">
                  <c:v>173.63</c:v>
                </c:pt>
              </c:numCache>
            </c:numRef>
          </c:val>
        </c:ser>
        <c:ser>
          <c:idx val="0"/>
          <c:order val="4"/>
          <c:tx>
            <c:strRef>
              <c:f>圖!$B$2</c:f>
              <c:strCache>
                <c:ptCount val="1"/>
                <c:pt idx="0">
                  <c:v>總計</c:v>
                </c:pt>
              </c:strCache>
            </c:strRef>
          </c:tx>
          <c:invertIfNegative val="0"/>
          <c:cat>
            <c:strRef>
              <c:f>圖!$A$9:$A$13</c:f>
              <c:strCache>
                <c:ptCount val="5"/>
                <c:pt idx="0">
                  <c:v>97年</c:v>
                </c:pt>
                <c:pt idx="1">
                  <c:v>98年</c:v>
                </c:pt>
                <c:pt idx="2">
                  <c:v>99年</c:v>
                </c:pt>
                <c:pt idx="3">
                  <c:v>100年</c:v>
                </c:pt>
                <c:pt idx="4">
                  <c:v>101年</c:v>
                </c:pt>
              </c:strCache>
            </c:strRef>
          </c:cat>
          <c:val>
            <c:numRef>
              <c:f>圖!$B$9:$B$13</c:f>
            </c:numRef>
          </c:val>
          <c:shape val="box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2274304"/>
        <c:axId val="312276096"/>
        <c:axId val="0"/>
      </c:bar3DChart>
      <c:catAx>
        <c:axId val="312274304"/>
        <c:scaling>
          <c:orientation val="minMax"/>
        </c:scaling>
        <c:delete val="0"/>
        <c:axPos val="b"/>
        <c:majorTickMark val="out"/>
        <c:minorTickMark val="none"/>
        <c:tickLblPos val="nextTo"/>
        <c:crossAx val="312276096"/>
        <c:crosses val="autoZero"/>
        <c:auto val="1"/>
        <c:lblAlgn val="ctr"/>
        <c:lblOffset val="100"/>
        <c:noMultiLvlLbl val="0"/>
      </c:catAx>
      <c:valAx>
        <c:axId val="312276096"/>
        <c:scaling>
          <c:orientation val="minMax"/>
        </c:scaling>
        <c:delete val="0"/>
        <c:axPos val="l"/>
        <c:majorGridlines/>
        <c:title>
          <c:tx>
            <c:rich>
              <a:bodyPr rot="0" vert="wordArtVertRtl"/>
              <a:lstStyle/>
              <a:p>
                <a:pPr>
                  <a:defRPr b="0"/>
                </a:pPr>
                <a:r>
                  <a:rPr lang="zh-TW" altLang="en-US" b="0"/>
                  <a:t>單位：百萬元</a:t>
                </a:r>
              </a:p>
            </c:rich>
          </c:tx>
          <c:overlay val="0"/>
        </c:title>
        <c:numFmt formatCode="_-* #,##0_-;\-* #,##0_-;_-* &quot;-&quot;??_-;_-@_-" sourceLinked="1"/>
        <c:majorTickMark val="out"/>
        <c:minorTickMark val="none"/>
        <c:tickLblPos val="nextTo"/>
        <c:crossAx val="31227430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>
          <a:latin typeface="Times New Roman" pitchFamily="18" charset="0"/>
          <a:ea typeface="標楷體" pitchFamily="65" charset="-120"/>
          <a:cs typeface="Times New Roman" pitchFamily="18" charset="0"/>
        </a:defRPr>
      </a:pPr>
      <a:endParaRPr lang="zh-TW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13"/>
    </mc:Choice>
    <mc:Fallback>
      <c:style val="13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893691673957422"/>
          <c:y val="6.7901234567901231E-2"/>
          <c:w val="0.65460612186990152"/>
          <c:h val="0.6511417322834646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圖!$A$10</c:f>
              <c:strCache>
                <c:ptCount val="1"/>
                <c:pt idx="0">
                  <c:v>101年底</c:v>
                </c:pt>
              </c:strCache>
            </c:strRef>
          </c:tx>
          <c:invertIfNegative val="0"/>
          <c:dPt>
            <c:idx val="0"/>
            <c:invertIfNegative val="0"/>
            <c:bubble3D val="0"/>
          </c:dPt>
          <c:dLbls>
            <c:numFmt formatCode="#,##0_ 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圖!$C$3:$G$3</c:f>
              <c:strCache>
                <c:ptCount val="5"/>
                <c:pt idx="0">
                  <c:v>托嬰中心</c:v>
                </c:pt>
                <c:pt idx="1">
                  <c:v>早期療育機構</c:v>
                </c:pt>
                <c:pt idx="2">
                  <c:v>安置及教養機構</c:v>
                </c:pt>
                <c:pt idx="3">
                  <c:v>心理輔導或家庭諮詢機構</c:v>
                </c:pt>
                <c:pt idx="4">
                  <c:v>其他福利服務機構</c:v>
                </c:pt>
              </c:strCache>
            </c:strRef>
          </c:cat>
          <c:val>
            <c:numRef>
              <c:f>圖!$C$10:$G$10</c:f>
              <c:numCache>
                <c:formatCode>#,##0</c:formatCode>
                <c:ptCount val="5"/>
                <c:pt idx="0">
                  <c:v>402</c:v>
                </c:pt>
                <c:pt idx="1">
                  <c:v>23</c:v>
                </c:pt>
                <c:pt idx="2">
                  <c:v>123</c:v>
                </c:pt>
                <c:pt idx="3">
                  <c:v>3</c:v>
                </c:pt>
                <c:pt idx="4">
                  <c:v>65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5"/>
        <c:axId val="312877440"/>
        <c:axId val="312880128"/>
      </c:barChart>
      <c:catAx>
        <c:axId val="312877440"/>
        <c:scaling>
          <c:orientation val="minMax"/>
        </c:scaling>
        <c:delete val="0"/>
        <c:axPos val="l"/>
        <c:majorTickMark val="none"/>
        <c:minorTickMark val="none"/>
        <c:tickLblPos val="nextTo"/>
        <c:crossAx val="312880128"/>
        <c:crosses val="autoZero"/>
        <c:auto val="1"/>
        <c:lblAlgn val="ctr"/>
        <c:lblOffset val="100"/>
        <c:noMultiLvlLbl val="0"/>
      </c:catAx>
      <c:valAx>
        <c:axId val="312880128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 b="0"/>
                </a:pPr>
                <a:r>
                  <a:rPr lang="zh-TW" altLang="en-US" b="0"/>
                  <a:t>單位：所</a:t>
                </a:r>
              </a:p>
            </c:rich>
          </c:tx>
          <c:layout>
            <c:manualLayout>
              <c:xMode val="edge"/>
              <c:yMode val="edge"/>
              <c:x val="0.83141803220543375"/>
              <c:y val="7.6287061339554776E-2"/>
            </c:manualLayout>
          </c:layout>
          <c:overlay val="0"/>
        </c:title>
        <c:numFmt formatCode="#,##0" sourceLinked="1"/>
        <c:majorTickMark val="none"/>
        <c:minorTickMark val="none"/>
        <c:tickLblPos val="nextTo"/>
        <c:crossAx val="312877440"/>
        <c:crosses val="autoZero"/>
        <c:crossBetween val="between"/>
      </c:valAx>
      <c:spPr>
        <a:noFill/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>
          <a:latin typeface="Times New Roman" pitchFamily="18" charset="0"/>
          <a:ea typeface="標楷體" pitchFamily="65" charset="-120"/>
          <a:cs typeface="Times New Roman" pitchFamily="18" charset="0"/>
        </a:defRPr>
      </a:pPr>
      <a:endParaRPr lang="zh-TW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圖!$B$2</c:f>
              <c:strCache>
                <c:ptCount val="1"/>
                <c:pt idx="0">
                  <c:v>婦女福利服務中心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cat>
            <c:strRef>
              <c:f>圖!$A$3:$A$9</c:f>
              <c:strCache>
                <c:ptCount val="5"/>
                <c:pt idx="0">
                  <c:v>97年</c:v>
                </c:pt>
                <c:pt idx="1">
                  <c:v>98年</c:v>
                </c:pt>
                <c:pt idx="2">
                  <c:v>99年</c:v>
                </c:pt>
                <c:pt idx="3">
                  <c:v>100年</c:v>
                </c:pt>
                <c:pt idx="4">
                  <c:v>101年</c:v>
                </c:pt>
              </c:strCache>
            </c:strRef>
          </c:cat>
          <c:val>
            <c:numRef>
              <c:f>圖!$B$3:$B$9</c:f>
              <c:numCache>
                <c:formatCode>General</c:formatCode>
                <c:ptCount val="5"/>
                <c:pt idx="0">
                  <c:v>58</c:v>
                </c:pt>
                <c:pt idx="1">
                  <c:v>61</c:v>
                </c:pt>
                <c:pt idx="2">
                  <c:v>63</c:v>
                </c:pt>
                <c:pt idx="3">
                  <c:v>52</c:v>
                </c:pt>
                <c:pt idx="4">
                  <c:v>51</c:v>
                </c:pt>
              </c:numCache>
            </c:numRef>
          </c:val>
        </c:ser>
        <c:ser>
          <c:idx val="1"/>
          <c:order val="1"/>
          <c:tx>
            <c:strRef>
              <c:f>圖!$C$2</c:f>
              <c:strCache>
                <c:ptCount val="1"/>
                <c:pt idx="0">
                  <c:v>婦女中途之家庇護中心</c:v>
                </c:pt>
              </c:strCache>
            </c:strRef>
          </c:tx>
          <c:spPr>
            <a:solidFill>
              <a:schemeClr val="accent4">
                <a:lumMod val="75000"/>
              </a:schemeClr>
            </a:solidFill>
          </c:spPr>
          <c:invertIfNegative val="0"/>
          <c:cat>
            <c:strRef>
              <c:f>圖!$A$3:$A$9</c:f>
              <c:strCache>
                <c:ptCount val="5"/>
                <c:pt idx="0">
                  <c:v>97年</c:v>
                </c:pt>
                <c:pt idx="1">
                  <c:v>98年</c:v>
                </c:pt>
                <c:pt idx="2">
                  <c:v>99年</c:v>
                </c:pt>
                <c:pt idx="3">
                  <c:v>100年</c:v>
                </c:pt>
                <c:pt idx="4">
                  <c:v>101年</c:v>
                </c:pt>
              </c:strCache>
            </c:strRef>
          </c:cat>
          <c:val>
            <c:numRef>
              <c:f>圖!$C$3:$C$9</c:f>
              <c:numCache>
                <c:formatCode>General</c:formatCode>
                <c:ptCount val="5"/>
                <c:pt idx="0">
                  <c:v>37</c:v>
                </c:pt>
                <c:pt idx="1">
                  <c:v>38</c:v>
                </c:pt>
                <c:pt idx="2">
                  <c:v>41</c:v>
                </c:pt>
                <c:pt idx="3">
                  <c:v>37</c:v>
                </c:pt>
                <c:pt idx="4">
                  <c:v>40</c:v>
                </c:pt>
              </c:numCache>
            </c:numRef>
          </c:val>
        </c:ser>
        <c:ser>
          <c:idx val="2"/>
          <c:order val="2"/>
          <c:tx>
            <c:strRef>
              <c:f>圖!$D$2</c:f>
              <c:strCache>
                <c:ptCount val="1"/>
                <c:pt idx="0">
                  <c:v>外籍配偶家庭服務中心</c:v>
                </c:pt>
              </c:strCache>
            </c:strRef>
          </c:tx>
          <c:invertIfNegative val="0"/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layout>
                <c:manualLayout>
                  <c:x val="1.0185067526415994E-16"/>
                  <c:y val="1.388888888888888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5.5555555555555558E-3"/>
                  <c:y val="-3.703703703703703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圖!$A$3:$A$9</c:f>
              <c:strCache>
                <c:ptCount val="5"/>
                <c:pt idx="0">
                  <c:v>97年</c:v>
                </c:pt>
                <c:pt idx="1">
                  <c:v>98年</c:v>
                </c:pt>
                <c:pt idx="2">
                  <c:v>99年</c:v>
                </c:pt>
                <c:pt idx="3">
                  <c:v>100年</c:v>
                </c:pt>
                <c:pt idx="4">
                  <c:v>101年</c:v>
                </c:pt>
              </c:strCache>
            </c:strRef>
          </c:cat>
          <c:val>
            <c:numRef>
              <c:f>圖!$D$3:$D$9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34</c:v>
                </c:pt>
                <c:pt idx="4">
                  <c:v>35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12903552"/>
        <c:axId val="312912896"/>
      </c:barChart>
      <c:catAx>
        <c:axId val="3129035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312912896"/>
        <c:crosses val="autoZero"/>
        <c:auto val="1"/>
        <c:lblAlgn val="ctr"/>
        <c:lblOffset val="100"/>
        <c:noMultiLvlLbl val="0"/>
      </c:catAx>
      <c:valAx>
        <c:axId val="312912896"/>
        <c:scaling>
          <c:orientation val="minMax"/>
        </c:scaling>
        <c:delete val="0"/>
        <c:axPos val="l"/>
        <c:majorGridlines/>
        <c:title>
          <c:tx>
            <c:rich>
              <a:bodyPr rot="0" vert="wordArtVertRtl" anchor="ctr" anchorCtr="0"/>
              <a:lstStyle/>
              <a:p>
                <a:pPr>
                  <a:defRPr/>
                </a:pPr>
                <a:r>
                  <a:rPr lang="zh-TW" altLang="en-US"/>
                  <a:t>單位：所數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312903552"/>
        <c:crosses val="autoZero"/>
        <c:crossBetween val="between"/>
      </c:valAx>
      <c:spPr>
        <a:noFill/>
        <a:ln>
          <a:noFill/>
        </a:ln>
      </c:spPr>
    </c:plotArea>
    <c:legend>
      <c:legendPos val="b"/>
      <c:overlay val="0"/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b="0">
          <a:latin typeface="Times New Roman" pitchFamily="18" charset="0"/>
          <a:ea typeface="標楷體" pitchFamily="65" charset="-120"/>
          <a:cs typeface="Times New Roman" pitchFamily="18" charset="0"/>
        </a:defRPr>
      </a:pPr>
      <a:endParaRPr lang="zh-TW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4493653868083437"/>
          <c:y val="5.128205128205128E-2"/>
          <c:w val="0.65820305349871477"/>
          <c:h val="0.83909072554741848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altLang="en-US"/>
                      <a:t>73.29%</a:t>
                    </a:r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en-US"/>
                      <a:t>76.43%</a:t>
                    </a:r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en-US" altLang="en-US"/>
                      <a:t>68.25%</a:t>
                    </a:r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_ " sourceLinked="0"/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圖!$A$3:$A$5</c:f>
              <c:strCache>
                <c:ptCount val="3"/>
                <c:pt idx="0">
                  <c:v>長期照護型(53所)</c:v>
                </c:pt>
                <c:pt idx="1">
                  <c:v>養護型(947所)</c:v>
                </c:pt>
                <c:pt idx="2">
                  <c:v>安養(34所)</c:v>
                </c:pt>
              </c:strCache>
            </c:strRef>
          </c:cat>
          <c:val>
            <c:numRef>
              <c:f>圖!$D$3:$D$5</c:f>
              <c:numCache>
                <c:formatCode>0.00</c:formatCode>
                <c:ptCount val="3"/>
                <c:pt idx="0">
                  <c:v>73.2939874585024</c:v>
                </c:pt>
                <c:pt idx="1">
                  <c:v>76.426416789679735</c:v>
                </c:pt>
                <c:pt idx="2">
                  <c:v>68.253755364806864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40"/>
        <c:axId val="313138560"/>
        <c:axId val="313148544"/>
      </c:barChart>
      <c:catAx>
        <c:axId val="313138560"/>
        <c:scaling>
          <c:orientation val="minMax"/>
        </c:scaling>
        <c:delete val="0"/>
        <c:axPos val="l"/>
        <c:majorTickMark val="none"/>
        <c:minorTickMark val="none"/>
        <c:tickLblPos val="nextTo"/>
        <c:crossAx val="313148544"/>
        <c:crosses val="autoZero"/>
        <c:auto val="1"/>
        <c:lblAlgn val="ctr"/>
        <c:lblOffset val="100"/>
        <c:noMultiLvlLbl val="0"/>
      </c:catAx>
      <c:valAx>
        <c:axId val="313148544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 b="0"/>
                </a:pPr>
                <a:r>
                  <a:rPr lang="zh-TW" altLang="en-US" b="0"/>
                  <a:t>件</a:t>
                </a:r>
              </a:p>
            </c:rich>
          </c:tx>
          <c:layout>
            <c:manualLayout>
              <c:xMode val="edge"/>
              <c:yMode val="edge"/>
              <c:x val="0.94810617520735441"/>
              <c:y val="0.89743589743589747"/>
            </c:manualLayout>
          </c:layout>
          <c:overlay val="0"/>
        </c:title>
        <c:numFmt formatCode="0.00" sourceLinked="1"/>
        <c:majorTickMark val="none"/>
        <c:minorTickMark val="none"/>
        <c:tickLblPos val="nextTo"/>
        <c:crossAx val="313138560"/>
        <c:crosses val="autoZero"/>
        <c:crossBetween val="between"/>
      </c:valAx>
      <c:spPr>
        <a:noFill/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>
          <a:latin typeface="Times New Roman" pitchFamily="18" charset="0"/>
          <a:ea typeface="標楷體" pitchFamily="65" charset="-120"/>
          <a:cs typeface="Times New Roman" pitchFamily="18" charset="0"/>
        </a:defRPr>
      </a:pPr>
      <a:endParaRPr lang="zh-TW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318116574090493"/>
          <c:y val="0.11342592592592593"/>
          <c:w val="0.63528302429345773"/>
          <c:h val="0.77314814814814814"/>
        </c:manualLayout>
      </c:layout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2.4129381559773896E-2"/>
                  <c:y val="-8.504529251643029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6.116315817665649E-2"/>
                  <c:y val="-9.140625494102393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3.2252397021800848E-2"/>
                  <c:y val="-2.6591404990038894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4.5637077590148798E-3"/>
                  <c:y val="-3.370455208438027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3.6071083529196163E-2"/>
                  <c:y val="4.879026765080900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8"/>
              <c:layout>
                <c:manualLayout>
                  <c:x val="0.11978854651413563"/>
                  <c:y val="1.041666666666666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.00%" sourceLinked="0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圖!$A$3:$A$11</c:f>
              <c:strCache>
                <c:ptCount val="9"/>
                <c:pt idx="0">
                  <c:v>肢體障礙者 </c:v>
                </c:pt>
                <c:pt idx="1">
                  <c:v>重要器官失去功能者</c:v>
                </c:pt>
                <c:pt idx="2">
                  <c:v>聽覺機能障礙者 </c:v>
                </c:pt>
                <c:pt idx="3">
                  <c:v>慢性精神病患者</c:v>
                </c:pt>
                <c:pt idx="4">
                  <c:v>多重障礙者 </c:v>
                </c:pt>
                <c:pt idx="5">
                  <c:v>智能障礙者 </c:v>
                </c:pt>
                <c:pt idx="6">
                  <c:v>視覺障礙者 </c:v>
                </c:pt>
                <c:pt idx="7">
                  <c:v>失智症者</c:v>
                </c:pt>
                <c:pt idx="8">
                  <c:v>其他</c:v>
                </c:pt>
              </c:strCache>
            </c:strRef>
          </c:cat>
          <c:val>
            <c:numRef>
              <c:f>圖!$B$3:$B$11</c:f>
              <c:numCache>
                <c:formatCode>#,##0</c:formatCode>
                <c:ptCount val="9"/>
                <c:pt idx="0">
                  <c:v>381127</c:v>
                </c:pt>
                <c:pt idx="1">
                  <c:v>132024</c:v>
                </c:pt>
                <c:pt idx="2">
                  <c:v>122285</c:v>
                </c:pt>
                <c:pt idx="3">
                  <c:v>119514</c:v>
                </c:pt>
                <c:pt idx="4">
                  <c:v>114986</c:v>
                </c:pt>
                <c:pt idx="5">
                  <c:v>99621</c:v>
                </c:pt>
                <c:pt idx="6">
                  <c:v>56582</c:v>
                </c:pt>
                <c:pt idx="7">
                  <c:v>39441</c:v>
                </c:pt>
                <c:pt idx="8">
                  <c:v>51938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>
          <a:latin typeface="Times New Roman" pitchFamily="18" charset="0"/>
          <a:ea typeface="標楷體" pitchFamily="65" charset="-120"/>
          <a:cs typeface="Times New Roman" pitchFamily="18" charset="0"/>
        </a:defRPr>
      </a:pPr>
      <a:endParaRPr lang="zh-TW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34713188976377951"/>
          <c:y val="3.8888888888888883E-2"/>
          <c:w val="0.65286811023622049"/>
          <c:h val="0.51374781277340331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圖!$B$3</c:f>
              <c:strCache>
                <c:ptCount val="1"/>
                <c:pt idx="0">
                  <c:v>合計</c:v>
                </c:pt>
              </c:strCache>
            </c:strRef>
          </c:tx>
          <c:invertIfNegative val="0"/>
          <c:cat>
            <c:strRef>
              <c:f>圖!$A$4:$A$10</c:f>
              <c:strCache>
                <c:ptCount val="5"/>
                <c:pt idx="0">
                  <c:v>97年</c:v>
                </c:pt>
                <c:pt idx="1">
                  <c:v>98年</c:v>
                </c:pt>
                <c:pt idx="2">
                  <c:v>99年</c:v>
                </c:pt>
                <c:pt idx="3">
                  <c:v>100年</c:v>
                </c:pt>
                <c:pt idx="4">
                  <c:v>101年</c:v>
                </c:pt>
              </c:strCache>
            </c:strRef>
          </c:cat>
          <c:val>
            <c:numRef>
              <c:f>圖!$B$4:$B$10</c:f>
            </c:numRef>
          </c:val>
          <c:shape val="box"/>
        </c:ser>
        <c:ser>
          <c:idx val="1"/>
          <c:order val="1"/>
          <c:tx>
            <c:strRef>
              <c:f>圖!$C$3</c:f>
              <c:strCache>
                <c:ptCount val="1"/>
                <c:pt idx="0">
                  <c:v>婚姻、離婚或同居關係暴力</c:v>
                </c:pt>
              </c:strCache>
            </c:strRef>
          </c:tx>
          <c:invertIfNegative val="0"/>
          <c:cat>
            <c:strRef>
              <c:f>圖!$A$4:$A$10</c:f>
              <c:strCache>
                <c:ptCount val="5"/>
                <c:pt idx="0">
                  <c:v>97年</c:v>
                </c:pt>
                <c:pt idx="1">
                  <c:v>98年</c:v>
                </c:pt>
                <c:pt idx="2">
                  <c:v>99年</c:v>
                </c:pt>
                <c:pt idx="3">
                  <c:v>100年</c:v>
                </c:pt>
                <c:pt idx="4">
                  <c:v>101年</c:v>
                </c:pt>
              </c:strCache>
            </c:strRef>
          </c:cat>
          <c:val>
            <c:numRef>
              <c:f>圖!$C$4:$C$10</c:f>
              <c:numCache>
                <c:formatCode>#,##0</c:formatCode>
                <c:ptCount val="5"/>
                <c:pt idx="0">
                  <c:v>46530</c:v>
                </c:pt>
                <c:pt idx="1">
                  <c:v>52121</c:v>
                </c:pt>
                <c:pt idx="2">
                  <c:v>59704</c:v>
                </c:pt>
                <c:pt idx="3">
                  <c:v>56734</c:v>
                </c:pt>
                <c:pt idx="4">
                  <c:v>61309</c:v>
                </c:pt>
              </c:numCache>
            </c:numRef>
          </c:val>
        </c:ser>
        <c:ser>
          <c:idx val="2"/>
          <c:order val="2"/>
          <c:tx>
            <c:strRef>
              <c:f>圖!$D$3</c:f>
              <c:strCache>
                <c:ptCount val="1"/>
                <c:pt idx="0">
                  <c:v>兒少保護</c:v>
                </c:pt>
              </c:strCache>
            </c:strRef>
          </c:tx>
          <c:invertIfNegative val="0"/>
          <c:cat>
            <c:strRef>
              <c:f>圖!$A$4:$A$10</c:f>
              <c:strCache>
                <c:ptCount val="5"/>
                <c:pt idx="0">
                  <c:v>97年</c:v>
                </c:pt>
                <c:pt idx="1">
                  <c:v>98年</c:v>
                </c:pt>
                <c:pt idx="2">
                  <c:v>99年</c:v>
                </c:pt>
                <c:pt idx="3">
                  <c:v>100年</c:v>
                </c:pt>
                <c:pt idx="4">
                  <c:v>101年</c:v>
                </c:pt>
              </c:strCache>
            </c:strRef>
          </c:cat>
          <c:val>
            <c:numRef>
              <c:f>圖!$D$4:$D$10</c:f>
              <c:numCache>
                <c:formatCode>#,##0</c:formatCode>
                <c:ptCount val="5"/>
                <c:pt idx="0">
                  <c:v>17086</c:v>
                </c:pt>
                <c:pt idx="1">
                  <c:v>17476</c:v>
                </c:pt>
                <c:pt idx="2">
                  <c:v>22089</c:v>
                </c:pt>
                <c:pt idx="3">
                  <c:v>25740</c:v>
                </c:pt>
                <c:pt idx="4">
                  <c:v>31353</c:v>
                </c:pt>
              </c:numCache>
            </c:numRef>
          </c:val>
        </c:ser>
        <c:ser>
          <c:idx val="3"/>
          <c:order val="3"/>
          <c:tx>
            <c:strRef>
              <c:f>圖!$E$3</c:f>
              <c:strCache>
                <c:ptCount val="1"/>
                <c:pt idx="0">
                  <c:v>老人虐待</c:v>
                </c:pt>
              </c:strCache>
            </c:strRef>
          </c:tx>
          <c:invertIfNegative val="0"/>
          <c:cat>
            <c:strRef>
              <c:f>圖!$A$4:$A$10</c:f>
              <c:strCache>
                <c:ptCount val="5"/>
                <c:pt idx="0">
                  <c:v>97年</c:v>
                </c:pt>
                <c:pt idx="1">
                  <c:v>98年</c:v>
                </c:pt>
                <c:pt idx="2">
                  <c:v>99年</c:v>
                </c:pt>
                <c:pt idx="3">
                  <c:v>100年</c:v>
                </c:pt>
                <c:pt idx="4">
                  <c:v>101年</c:v>
                </c:pt>
              </c:strCache>
            </c:strRef>
          </c:cat>
          <c:val>
            <c:numRef>
              <c:f>圖!$E$4:$E$10</c:f>
              <c:numCache>
                <c:formatCode>#,##0</c:formatCode>
                <c:ptCount val="5"/>
                <c:pt idx="0">
                  <c:v>2271</c:v>
                </c:pt>
                <c:pt idx="1">
                  <c:v>2711</c:v>
                </c:pt>
                <c:pt idx="2">
                  <c:v>3316</c:v>
                </c:pt>
                <c:pt idx="3">
                  <c:v>3193</c:v>
                </c:pt>
                <c:pt idx="4">
                  <c:v>3625</c:v>
                </c:pt>
              </c:numCache>
            </c:numRef>
          </c:val>
        </c:ser>
        <c:ser>
          <c:idx val="4"/>
          <c:order val="4"/>
          <c:tx>
            <c:strRef>
              <c:f>圖!$F$3</c:f>
              <c:strCache>
                <c:ptCount val="1"/>
                <c:pt idx="0">
                  <c:v>其他</c:v>
                </c:pt>
              </c:strCache>
            </c:strRef>
          </c:tx>
          <c:invertIfNegative val="0"/>
          <c:cat>
            <c:strRef>
              <c:f>圖!$A$4:$A$10</c:f>
              <c:strCache>
                <c:ptCount val="5"/>
                <c:pt idx="0">
                  <c:v>97年</c:v>
                </c:pt>
                <c:pt idx="1">
                  <c:v>98年</c:v>
                </c:pt>
                <c:pt idx="2">
                  <c:v>99年</c:v>
                </c:pt>
                <c:pt idx="3">
                  <c:v>100年</c:v>
                </c:pt>
                <c:pt idx="4">
                  <c:v>101年</c:v>
                </c:pt>
              </c:strCache>
            </c:strRef>
          </c:cat>
          <c:val>
            <c:numRef>
              <c:f>圖!$F$4:$F$10</c:f>
              <c:numCache>
                <c:formatCode>#,##0</c:formatCode>
                <c:ptCount val="5"/>
                <c:pt idx="0">
                  <c:v>13987</c:v>
                </c:pt>
                <c:pt idx="1">
                  <c:v>16945</c:v>
                </c:pt>
                <c:pt idx="2">
                  <c:v>20021</c:v>
                </c:pt>
                <c:pt idx="3">
                  <c:v>18648</c:v>
                </c:pt>
                <c:pt idx="4">
                  <c:v>18916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gapDepth val="95"/>
        <c:shape val="cylinder"/>
        <c:axId val="314095872"/>
        <c:axId val="314101760"/>
        <c:axId val="0"/>
      </c:bar3DChart>
      <c:catAx>
        <c:axId val="3140958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314101760"/>
        <c:crosses val="autoZero"/>
        <c:auto val="1"/>
        <c:lblAlgn val="ctr"/>
        <c:lblOffset val="100"/>
        <c:noMultiLvlLbl val="0"/>
      </c:catAx>
      <c:valAx>
        <c:axId val="314101760"/>
        <c:scaling>
          <c:orientation val="minMax"/>
        </c:scaling>
        <c:delete val="0"/>
        <c:axPos val="l"/>
        <c:majorGridlines/>
        <c:title>
          <c:tx>
            <c:rich>
              <a:bodyPr rot="0" vert="wordArtVertRtl"/>
              <a:lstStyle/>
              <a:p>
                <a:pPr>
                  <a:defRPr b="0"/>
                </a:pPr>
                <a:r>
                  <a:rPr lang="zh-TW" altLang="en-US" b="0"/>
                  <a:t>單位：件數</a:t>
                </a:r>
              </a:p>
            </c:rich>
          </c:tx>
          <c:layout>
            <c:manualLayout>
              <c:xMode val="edge"/>
              <c:yMode val="edge"/>
              <c:x val="0.21251139551260506"/>
              <c:y val="0.14778834937299504"/>
            </c:manualLayout>
          </c:layout>
          <c:overlay val="0"/>
        </c:title>
        <c:numFmt formatCode="#,##0" sourceLinked="1"/>
        <c:majorTickMark val="none"/>
        <c:minorTickMark val="none"/>
        <c:tickLblPos val="nextTo"/>
        <c:crossAx val="314095872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>
          <a:latin typeface="Times New Roman" pitchFamily="18" charset="0"/>
          <a:ea typeface="標楷體" pitchFamily="65" charset="-120"/>
          <a:cs typeface="Times New Roman" pitchFamily="18" charset="0"/>
        </a:defRPr>
      </a:pPr>
      <a:endParaRPr lang="zh-TW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3384709323260253"/>
          <c:y val="5.0925925925925923E-2"/>
          <c:w val="0.67121567385234149"/>
          <c:h val="0.59781605424321971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圖!$C$1</c:f>
              <c:strCache>
                <c:ptCount val="1"/>
                <c:pt idx="0">
                  <c:v>配偶/前配偶</c:v>
                </c:pt>
              </c:strCache>
            </c:strRef>
          </c:tx>
          <c:invertIfNegative val="0"/>
          <c:cat>
            <c:strRef>
              <c:f>圖!$B$2:$B$6</c:f>
              <c:strCache>
                <c:ptCount val="5"/>
                <c:pt idx="0">
                  <c:v> 97年(8,521件)</c:v>
                </c:pt>
                <c:pt idx="1">
                  <c:v> 98年(9,543件)</c:v>
                </c:pt>
                <c:pt idx="2">
                  <c:v> 99年(10,892件)</c:v>
                </c:pt>
                <c:pt idx="3">
                  <c:v>100年(13,686件)</c:v>
                </c:pt>
                <c:pt idx="4">
                  <c:v>101年(15,102件)</c:v>
                </c:pt>
              </c:strCache>
            </c:strRef>
          </c:cat>
          <c:val>
            <c:numRef>
              <c:f>圖!$C$2:$C$6</c:f>
              <c:numCache>
                <c:formatCode>General</c:formatCode>
                <c:ptCount val="5"/>
                <c:pt idx="0">
                  <c:v>106</c:v>
                </c:pt>
                <c:pt idx="1">
                  <c:v>111</c:v>
                </c:pt>
                <c:pt idx="2">
                  <c:v>133</c:v>
                </c:pt>
                <c:pt idx="3">
                  <c:v>131</c:v>
                </c:pt>
                <c:pt idx="4">
                  <c:v>147</c:v>
                </c:pt>
              </c:numCache>
            </c:numRef>
          </c:val>
        </c:ser>
        <c:ser>
          <c:idx val="1"/>
          <c:order val="1"/>
          <c:tx>
            <c:strRef>
              <c:f>圖!$D$1</c:f>
              <c:strCache>
                <c:ptCount val="1"/>
                <c:pt idx="0">
                  <c:v>配偶</c:v>
                </c:pt>
              </c:strCache>
            </c:strRef>
          </c:tx>
          <c:invertIfNegative val="0"/>
          <c:cat>
            <c:strRef>
              <c:f>圖!$B$2:$B$6</c:f>
              <c:strCache>
                <c:ptCount val="5"/>
                <c:pt idx="0">
                  <c:v> 97年(8,521件)</c:v>
                </c:pt>
                <c:pt idx="1">
                  <c:v> 98年(9,543件)</c:v>
                </c:pt>
                <c:pt idx="2">
                  <c:v> 99年(10,892件)</c:v>
                </c:pt>
                <c:pt idx="3">
                  <c:v>100年(13,686件)</c:v>
                </c:pt>
                <c:pt idx="4">
                  <c:v>101年(15,102件)</c:v>
                </c:pt>
              </c:strCache>
            </c:strRef>
          </c:cat>
          <c:val>
            <c:numRef>
              <c:f>圖!$D$2:$D$6</c:f>
            </c:numRef>
          </c:val>
        </c:ser>
        <c:ser>
          <c:idx val="2"/>
          <c:order val="2"/>
          <c:tx>
            <c:strRef>
              <c:f>圖!$E$1</c:f>
              <c:strCache>
                <c:ptCount val="1"/>
                <c:pt idx="0">
                  <c:v>前配偶</c:v>
                </c:pt>
              </c:strCache>
            </c:strRef>
          </c:tx>
          <c:invertIfNegative val="0"/>
          <c:cat>
            <c:strRef>
              <c:f>圖!$B$2:$B$6</c:f>
              <c:strCache>
                <c:ptCount val="5"/>
                <c:pt idx="0">
                  <c:v> 97年(8,521件)</c:v>
                </c:pt>
                <c:pt idx="1">
                  <c:v> 98年(9,543件)</c:v>
                </c:pt>
                <c:pt idx="2">
                  <c:v> 99年(10,892件)</c:v>
                </c:pt>
                <c:pt idx="3">
                  <c:v>100年(13,686件)</c:v>
                </c:pt>
                <c:pt idx="4">
                  <c:v>101年(15,102件)</c:v>
                </c:pt>
              </c:strCache>
            </c:strRef>
          </c:cat>
          <c:val>
            <c:numRef>
              <c:f>圖!$E$2:$E$6</c:f>
            </c:numRef>
          </c:val>
        </c:ser>
        <c:ser>
          <c:idx val="3"/>
          <c:order val="3"/>
          <c:tx>
            <c:strRef>
              <c:f>圖!$F$1</c:f>
              <c:strCache>
                <c:ptCount val="1"/>
                <c:pt idx="0">
                  <c:v>鄰居</c:v>
                </c:pt>
              </c:strCache>
            </c:strRef>
          </c:tx>
          <c:invertIfNegative val="0"/>
          <c:cat>
            <c:strRef>
              <c:f>圖!$B$2:$B$6</c:f>
              <c:strCache>
                <c:ptCount val="5"/>
                <c:pt idx="0">
                  <c:v> 97年(8,521件)</c:v>
                </c:pt>
                <c:pt idx="1">
                  <c:v> 98年(9,543件)</c:v>
                </c:pt>
                <c:pt idx="2">
                  <c:v> 99年(10,892件)</c:v>
                </c:pt>
                <c:pt idx="3">
                  <c:v>100年(13,686件)</c:v>
                </c:pt>
                <c:pt idx="4">
                  <c:v>101年(15,102件)</c:v>
                </c:pt>
              </c:strCache>
            </c:strRef>
          </c:cat>
          <c:val>
            <c:numRef>
              <c:f>圖!$F$2:$F$6</c:f>
              <c:numCache>
                <c:formatCode>General</c:formatCode>
                <c:ptCount val="5"/>
                <c:pt idx="0">
                  <c:v>228</c:v>
                </c:pt>
                <c:pt idx="1">
                  <c:v>265</c:v>
                </c:pt>
                <c:pt idx="2">
                  <c:v>293</c:v>
                </c:pt>
                <c:pt idx="3">
                  <c:v>335</c:v>
                </c:pt>
                <c:pt idx="4">
                  <c:v>365</c:v>
                </c:pt>
              </c:numCache>
            </c:numRef>
          </c:val>
        </c:ser>
        <c:ser>
          <c:idx val="4"/>
          <c:order val="4"/>
          <c:tx>
            <c:strRef>
              <c:f>圖!$G$1</c:f>
              <c:strCache>
                <c:ptCount val="1"/>
                <c:pt idx="0">
                  <c:v>網友</c:v>
                </c:pt>
              </c:strCache>
            </c:strRef>
          </c:tx>
          <c:invertIfNegative val="0"/>
          <c:cat>
            <c:strRef>
              <c:f>圖!$B$2:$B$6</c:f>
              <c:strCache>
                <c:ptCount val="5"/>
                <c:pt idx="0">
                  <c:v> 97年(8,521件)</c:v>
                </c:pt>
                <c:pt idx="1">
                  <c:v> 98年(9,543件)</c:v>
                </c:pt>
                <c:pt idx="2">
                  <c:v> 99年(10,892件)</c:v>
                </c:pt>
                <c:pt idx="3">
                  <c:v>100年(13,686件)</c:v>
                </c:pt>
                <c:pt idx="4">
                  <c:v>101年(15,102件)</c:v>
                </c:pt>
              </c:strCache>
            </c:strRef>
          </c:cat>
          <c:val>
            <c:numRef>
              <c:f>圖!$G$2:$G$6</c:f>
              <c:numCache>
                <c:formatCode>General</c:formatCode>
                <c:ptCount val="5"/>
                <c:pt idx="0">
                  <c:v>694</c:v>
                </c:pt>
                <c:pt idx="1">
                  <c:v>735</c:v>
                </c:pt>
                <c:pt idx="2">
                  <c:v>632</c:v>
                </c:pt>
                <c:pt idx="3">
                  <c:v>824</c:v>
                </c:pt>
                <c:pt idx="4">
                  <c:v>807</c:v>
                </c:pt>
              </c:numCache>
            </c:numRef>
          </c:val>
        </c:ser>
        <c:ser>
          <c:idx val="5"/>
          <c:order val="5"/>
          <c:tx>
            <c:strRef>
              <c:f>圖!$H$1</c:f>
              <c:strCache>
                <c:ptCount val="1"/>
                <c:pt idx="0">
                  <c:v>直系血親</c:v>
                </c:pt>
              </c:strCache>
            </c:strRef>
          </c:tx>
          <c:invertIfNegative val="0"/>
          <c:cat>
            <c:strRef>
              <c:f>圖!$B$2:$B$6</c:f>
              <c:strCache>
                <c:ptCount val="5"/>
                <c:pt idx="0">
                  <c:v> 97年(8,521件)</c:v>
                </c:pt>
                <c:pt idx="1">
                  <c:v> 98年(9,543件)</c:v>
                </c:pt>
                <c:pt idx="2">
                  <c:v> 99年(10,892件)</c:v>
                </c:pt>
                <c:pt idx="3">
                  <c:v>100年(13,686件)</c:v>
                </c:pt>
                <c:pt idx="4">
                  <c:v>101年(15,102件)</c:v>
                </c:pt>
              </c:strCache>
            </c:strRef>
          </c:cat>
          <c:val>
            <c:numRef>
              <c:f>圖!$H$2:$H$6</c:f>
              <c:numCache>
                <c:formatCode>General</c:formatCode>
                <c:ptCount val="5"/>
                <c:pt idx="0">
                  <c:v>728</c:v>
                </c:pt>
                <c:pt idx="1">
                  <c:v>734</c:v>
                </c:pt>
                <c:pt idx="2">
                  <c:v>943</c:v>
                </c:pt>
                <c:pt idx="3">
                  <c:v>974</c:v>
                </c:pt>
                <c:pt idx="4" formatCode="#,##0">
                  <c:v>1052</c:v>
                </c:pt>
              </c:numCache>
            </c:numRef>
          </c:val>
        </c:ser>
        <c:ser>
          <c:idx val="6"/>
          <c:order val="6"/>
          <c:tx>
            <c:strRef>
              <c:f>圖!$I$1</c:f>
              <c:strCache>
                <c:ptCount val="1"/>
                <c:pt idx="0">
                  <c:v>(前)男女朋友</c:v>
                </c:pt>
              </c:strCache>
            </c:strRef>
          </c:tx>
          <c:invertIfNegative val="0"/>
          <c:cat>
            <c:strRef>
              <c:f>圖!$B$2:$B$6</c:f>
              <c:strCache>
                <c:ptCount val="5"/>
                <c:pt idx="0">
                  <c:v> 97年(8,521件)</c:v>
                </c:pt>
                <c:pt idx="1">
                  <c:v> 98年(9,543件)</c:v>
                </c:pt>
                <c:pt idx="2">
                  <c:v> 99年(10,892件)</c:v>
                </c:pt>
                <c:pt idx="3">
                  <c:v>100年(13,686件)</c:v>
                </c:pt>
                <c:pt idx="4">
                  <c:v>101年(15,102件)</c:v>
                </c:pt>
              </c:strCache>
            </c:strRef>
          </c:cat>
          <c:val>
            <c:numRef>
              <c:f>圖!$I$2:$I$6</c:f>
              <c:numCache>
                <c:formatCode>#,##0</c:formatCode>
                <c:ptCount val="5"/>
                <c:pt idx="0">
                  <c:v>1717</c:v>
                </c:pt>
                <c:pt idx="1">
                  <c:v>1880</c:v>
                </c:pt>
                <c:pt idx="2">
                  <c:v>2395</c:v>
                </c:pt>
                <c:pt idx="3">
                  <c:v>3306</c:v>
                </c:pt>
                <c:pt idx="4">
                  <c:v>3966</c:v>
                </c:pt>
              </c:numCache>
            </c:numRef>
          </c:val>
        </c:ser>
        <c:ser>
          <c:idx val="7"/>
          <c:order val="7"/>
          <c:tx>
            <c:strRef>
              <c:f>圖!$J$1</c:f>
              <c:strCache>
                <c:ptCount val="1"/>
                <c:pt idx="0">
                  <c:v>男(女)朋友</c:v>
                </c:pt>
              </c:strCache>
            </c:strRef>
          </c:tx>
          <c:invertIfNegative val="0"/>
          <c:cat>
            <c:strRef>
              <c:f>圖!$B$2:$B$6</c:f>
              <c:strCache>
                <c:ptCount val="5"/>
                <c:pt idx="0">
                  <c:v> 97年(8,521件)</c:v>
                </c:pt>
                <c:pt idx="1">
                  <c:v> 98年(9,543件)</c:v>
                </c:pt>
                <c:pt idx="2">
                  <c:v> 99年(10,892件)</c:v>
                </c:pt>
                <c:pt idx="3">
                  <c:v>100年(13,686件)</c:v>
                </c:pt>
                <c:pt idx="4">
                  <c:v>101年(15,102件)</c:v>
                </c:pt>
              </c:strCache>
            </c:strRef>
          </c:cat>
          <c:val>
            <c:numRef>
              <c:f>圖!$J$2:$J$6</c:f>
            </c:numRef>
          </c:val>
        </c:ser>
        <c:ser>
          <c:idx val="8"/>
          <c:order val="8"/>
          <c:tx>
            <c:strRef>
              <c:f>圖!$K$1</c:f>
              <c:strCache>
                <c:ptCount val="1"/>
                <c:pt idx="0">
                  <c:v>前男(女)朋友</c:v>
                </c:pt>
              </c:strCache>
            </c:strRef>
          </c:tx>
          <c:invertIfNegative val="0"/>
          <c:cat>
            <c:strRef>
              <c:f>圖!$B$2:$B$6</c:f>
              <c:strCache>
                <c:ptCount val="5"/>
                <c:pt idx="0">
                  <c:v> 97年(8,521件)</c:v>
                </c:pt>
                <c:pt idx="1">
                  <c:v> 98年(9,543件)</c:v>
                </c:pt>
                <c:pt idx="2">
                  <c:v> 99年(10,892件)</c:v>
                </c:pt>
                <c:pt idx="3">
                  <c:v>100年(13,686件)</c:v>
                </c:pt>
                <c:pt idx="4">
                  <c:v>101年(15,102件)</c:v>
                </c:pt>
              </c:strCache>
            </c:strRef>
          </c:cat>
          <c:val>
            <c:numRef>
              <c:f>圖!$K$2:$K$6</c:f>
            </c:numRef>
          </c:val>
        </c:ser>
        <c:ser>
          <c:idx val="9"/>
          <c:order val="9"/>
          <c:tx>
            <c:strRef>
              <c:f>圖!$L$1</c:f>
              <c:strCache>
                <c:ptCount val="1"/>
                <c:pt idx="0">
                  <c:v>未婚夫/妻</c:v>
                </c:pt>
              </c:strCache>
            </c:strRef>
          </c:tx>
          <c:invertIfNegative val="0"/>
          <c:cat>
            <c:strRef>
              <c:f>圖!$B$2:$B$6</c:f>
              <c:strCache>
                <c:ptCount val="5"/>
                <c:pt idx="0">
                  <c:v> 97年(8,521件)</c:v>
                </c:pt>
                <c:pt idx="1">
                  <c:v> 98年(9,543件)</c:v>
                </c:pt>
                <c:pt idx="2">
                  <c:v> 99年(10,892件)</c:v>
                </c:pt>
                <c:pt idx="3">
                  <c:v>100年(13,686件)</c:v>
                </c:pt>
                <c:pt idx="4">
                  <c:v>101年(15,102件)</c:v>
                </c:pt>
              </c:strCache>
            </c:strRef>
          </c:cat>
          <c:val>
            <c:numRef>
              <c:f>圖!$L$2:$L$6</c:f>
              <c:numCache>
                <c:formatCode>General</c:formatCode>
                <c:ptCount val="5"/>
                <c:pt idx="0">
                  <c:v>5</c:v>
                </c:pt>
                <c:pt idx="1">
                  <c:v>3</c:v>
                </c:pt>
                <c:pt idx="2">
                  <c:v>8</c:v>
                </c:pt>
                <c:pt idx="3">
                  <c:v>10</c:v>
                </c:pt>
                <c:pt idx="4">
                  <c:v>9</c:v>
                </c:pt>
              </c:numCache>
            </c:numRef>
          </c:val>
        </c:ser>
        <c:ser>
          <c:idx val="10"/>
          <c:order val="10"/>
          <c:tx>
            <c:strRef>
              <c:f>圖!$M$1</c:f>
              <c:strCache>
                <c:ptCount val="1"/>
                <c:pt idx="0">
                  <c:v>普通朋友</c:v>
                </c:pt>
              </c:strCache>
            </c:strRef>
          </c:tx>
          <c:invertIfNegative val="0"/>
          <c:cat>
            <c:strRef>
              <c:f>圖!$B$2:$B$6</c:f>
              <c:strCache>
                <c:ptCount val="5"/>
                <c:pt idx="0">
                  <c:v> 97年(8,521件)</c:v>
                </c:pt>
                <c:pt idx="1">
                  <c:v> 98年(9,543件)</c:v>
                </c:pt>
                <c:pt idx="2">
                  <c:v> 99年(10,892件)</c:v>
                </c:pt>
                <c:pt idx="3">
                  <c:v>100年(13,686件)</c:v>
                </c:pt>
                <c:pt idx="4">
                  <c:v>101年(15,102件)</c:v>
                </c:pt>
              </c:strCache>
            </c:strRef>
          </c:cat>
          <c:val>
            <c:numRef>
              <c:f>圖!$M$2:$M$6</c:f>
              <c:numCache>
                <c:formatCode>General</c:formatCode>
                <c:ptCount val="5"/>
                <c:pt idx="0">
                  <c:v>892</c:v>
                </c:pt>
                <c:pt idx="1">
                  <c:v>930</c:v>
                </c:pt>
                <c:pt idx="2">
                  <c:v>960</c:v>
                </c:pt>
                <c:pt idx="3" formatCode="#,##0">
                  <c:v>1227</c:v>
                </c:pt>
                <c:pt idx="4" formatCode="#,##0">
                  <c:v>1395</c:v>
                </c:pt>
              </c:numCache>
            </c:numRef>
          </c:val>
        </c:ser>
        <c:ser>
          <c:idx val="11"/>
          <c:order val="11"/>
          <c:tx>
            <c:strRef>
              <c:f>圖!$N$1</c:f>
              <c:strCache>
                <c:ptCount val="1"/>
                <c:pt idx="0">
                  <c:v>旁系親屬</c:v>
                </c:pt>
              </c:strCache>
            </c:strRef>
          </c:tx>
          <c:invertIfNegative val="0"/>
          <c:cat>
            <c:strRef>
              <c:f>圖!$B$2:$B$6</c:f>
              <c:strCache>
                <c:ptCount val="5"/>
                <c:pt idx="0">
                  <c:v> 97年(8,521件)</c:v>
                </c:pt>
                <c:pt idx="1">
                  <c:v> 98年(9,543件)</c:v>
                </c:pt>
                <c:pt idx="2">
                  <c:v> 99年(10,892件)</c:v>
                </c:pt>
                <c:pt idx="3">
                  <c:v>100年(13,686件)</c:v>
                </c:pt>
                <c:pt idx="4">
                  <c:v>101年(15,102件)</c:v>
                </c:pt>
              </c:strCache>
            </c:strRef>
          </c:cat>
          <c:val>
            <c:numRef>
              <c:f>圖!$N$2:$N$6</c:f>
              <c:numCache>
                <c:formatCode>General</c:formatCode>
                <c:ptCount val="5"/>
                <c:pt idx="0">
                  <c:v>468</c:v>
                </c:pt>
                <c:pt idx="1">
                  <c:v>517</c:v>
                </c:pt>
                <c:pt idx="2">
                  <c:v>611</c:v>
                </c:pt>
                <c:pt idx="3">
                  <c:v>669</c:v>
                </c:pt>
                <c:pt idx="4">
                  <c:v>743</c:v>
                </c:pt>
              </c:numCache>
            </c:numRef>
          </c:val>
        </c:ser>
        <c:ser>
          <c:idx val="12"/>
          <c:order val="12"/>
          <c:tx>
            <c:strRef>
              <c:f>圖!$O$1</c:f>
              <c:strCache>
                <c:ptCount val="1"/>
                <c:pt idx="0">
                  <c:v>師生關系</c:v>
                </c:pt>
              </c:strCache>
            </c:strRef>
          </c:tx>
          <c:invertIfNegative val="0"/>
          <c:cat>
            <c:strRef>
              <c:f>圖!$B$2:$B$6</c:f>
              <c:strCache>
                <c:ptCount val="5"/>
                <c:pt idx="0">
                  <c:v> 97年(8,521件)</c:v>
                </c:pt>
                <c:pt idx="1">
                  <c:v> 98年(9,543件)</c:v>
                </c:pt>
                <c:pt idx="2">
                  <c:v> 99年(10,892件)</c:v>
                </c:pt>
                <c:pt idx="3">
                  <c:v>100年(13,686件)</c:v>
                </c:pt>
                <c:pt idx="4">
                  <c:v>101年(15,102件)</c:v>
                </c:pt>
              </c:strCache>
            </c:strRef>
          </c:cat>
          <c:val>
            <c:numRef>
              <c:f>圖!$O$2:$O$6</c:f>
              <c:numCache>
                <c:formatCode>General</c:formatCode>
                <c:ptCount val="5"/>
                <c:pt idx="0">
                  <c:v>93</c:v>
                </c:pt>
                <c:pt idx="1">
                  <c:v>159</c:v>
                </c:pt>
                <c:pt idx="2">
                  <c:v>168</c:v>
                </c:pt>
                <c:pt idx="3">
                  <c:v>242</c:v>
                </c:pt>
                <c:pt idx="4">
                  <c:v>267</c:v>
                </c:pt>
              </c:numCache>
            </c:numRef>
          </c:val>
        </c:ser>
        <c:ser>
          <c:idx val="13"/>
          <c:order val="13"/>
          <c:tx>
            <c:strRef>
              <c:f>圖!$P$1</c:f>
              <c:strCache>
                <c:ptCount val="1"/>
                <c:pt idx="0">
                  <c:v>家人的朋友</c:v>
                </c:pt>
              </c:strCache>
            </c:strRef>
          </c:tx>
          <c:invertIfNegative val="0"/>
          <c:cat>
            <c:strRef>
              <c:f>圖!$B$2:$B$6</c:f>
              <c:strCache>
                <c:ptCount val="5"/>
                <c:pt idx="0">
                  <c:v> 97年(8,521件)</c:v>
                </c:pt>
                <c:pt idx="1">
                  <c:v> 98年(9,543件)</c:v>
                </c:pt>
                <c:pt idx="2">
                  <c:v> 99年(10,892件)</c:v>
                </c:pt>
                <c:pt idx="3">
                  <c:v>100年(13,686件)</c:v>
                </c:pt>
                <c:pt idx="4">
                  <c:v>101年(15,102件)</c:v>
                </c:pt>
              </c:strCache>
            </c:strRef>
          </c:cat>
          <c:val>
            <c:numRef>
              <c:f>圖!$P$2:$P$6</c:f>
              <c:numCache>
                <c:formatCode>General</c:formatCode>
                <c:ptCount val="5"/>
                <c:pt idx="0">
                  <c:v>234</c:v>
                </c:pt>
                <c:pt idx="1">
                  <c:v>263</c:v>
                </c:pt>
                <c:pt idx="2">
                  <c:v>308</c:v>
                </c:pt>
                <c:pt idx="3">
                  <c:v>364</c:v>
                </c:pt>
                <c:pt idx="4">
                  <c:v>365</c:v>
                </c:pt>
              </c:numCache>
            </c:numRef>
          </c:val>
        </c:ser>
        <c:ser>
          <c:idx val="14"/>
          <c:order val="14"/>
          <c:tx>
            <c:strRef>
              <c:f>圖!$Q$1</c:f>
              <c:strCache>
                <c:ptCount val="1"/>
                <c:pt idx="0">
                  <c:v>客戶關係</c:v>
                </c:pt>
              </c:strCache>
            </c:strRef>
          </c:tx>
          <c:invertIfNegative val="0"/>
          <c:cat>
            <c:strRef>
              <c:f>圖!$B$2:$B$6</c:f>
              <c:strCache>
                <c:ptCount val="5"/>
                <c:pt idx="0">
                  <c:v> 97年(8,521件)</c:v>
                </c:pt>
                <c:pt idx="1">
                  <c:v> 98年(9,543件)</c:v>
                </c:pt>
                <c:pt idx="2">
                  <c:v> 99年(10,892件)</c:v>
                </c:pt>
                <c:pt idx="3">
                  <c:v>100年(13,686件)</c:v>
                </c:pt>
                <c:pt idx="4">
                  <c:v>101年(15,102件)</c:v>
                </c:pt>
              </c:strCache>
            </c:strRef>
          </c:cat>
          <c:val>
            <c:numRef>
              <c:f>圖!$Q$2:$Q$6</c:f>
              <c:numCache>
                <c:formatCode>General</c:formatCode>
                <c:ptCount val="5"/>
                <c:pt idx="0">
                  <c:v>146</c:v>
                </c:pt>
                <c:pt idx="1">
                  <c:v>146</c:v>
                </c:pt>
                <c:pt idx="2">
                  <c:v>147</c:v>
                </c:pt>
                <c:pt idx="3">
                  <c:v>153</c:v>
                </c:pt>
                <c:pt idx="4">
                  <c:v>189</c:v>
                </c:pt>
              </c:numCache>
            </c:numRef>
          </c:val>
        </c:ser>
        <c:ser>
          <c:idx val="15"/>
          <c:order val="15"/>
          <c:tx>
            <c:strRef>
              <c:f>圖!$R$1</c:f>
              <c:strCache>
                <c:ptCount val="1"/>
                <c:pt idx="0">
                  <c:v>同學</c:v>
                </c:pt>
              </c:strCache>
            </c:strRef>
          </c:tx>
          <c:invertIfNegative val="0"/>
          <c:cat>
            <c:strRef>
              <c:f>圖!$B$2:$B$6</c:f>
              <c:strCache>
                <c:ptCount val="5"/>
                <c:pt idx="0">
                  <c:v> 97年(8,521件)</c:v>
                </c:pt>
                <c:pt idx="1">
                  <c:v> 98年(9,543件)</c:v>
                </c:pt>
                <c:pt idx="2">
                  <c:v> 99年(10,892件)</c:v>
                </c:pt>
                <c:pt idx="3">
                  <c:v>100年(13,686件)</c:v>
                </c:pt>
                <c:pt idx="4">
                  <c:v>101年(15,102件)</c:v>
                </c:pt>
              </c:strCache>
            </c:strRef>
          </c:cat>
          <c:val>
            <c:numRef>
              <c:f>圖!$R$2:$R$6</c:f>
              <c:numCache>
                <c:formatCode>General</c:formatCode>
                <c:ptCount val="5"/>
                <c:pt idx="0">
                  <c:v>402</c:v>
                </c:pt>
                <c:pt idx="1">
                  <c:v>626</c:v>
                </c:pt>
                <c:pt idx="2">
                  <c:v>815</c:v>
                </c:pt>
                <c:pt idx="3" formatCode="#,##0">
                  <c:v>1355</c:v>
                </c:pt>
                <c:pt idx="4" formatCode="#,##0">
                  <c:v>1580</c:v>
                </c:pt>
              </c:numCache>
            </c:numRef>
          </c:val>
        </c:ser>
        <c:ser>
          <c:idx val="16"/>
          <c:order val="16"/>
          <c:tx>
            <c:strRef>
              <c:f>圖!$S$1</c:f>
              <c:strCache>
                <c:ptCount val="1"/>
                <c:pt idx="0">
                  <c:v>同事</c:v>
                </c:pt>
              </c:strCache>
            </c:strRef>
          </c:tx>
          <c:invertIfNegative val="0"/>
          <c:cat>
            <c:strRef>
              <c:f>圖!$B$2:$B$6</c:f>
              <c:strCache>
                <c:ptCount val="5"/>
                <c:pt idx="0">
                  <c:v> 97年(8,521件)</c:v>
                </c:pt>
                <c:pt idx="1">
                  <c:v> 98年(9,543件)</c:v>
                </c:pt>
                <c:pt idx="2">
                  <c:v> 99年(10,892件)</c:v>
                </c:pt>
                <c:pt idx="3">
                  <c:v>100年(13,686件)</c:v>
                </c:pt>
                <c:pt idx="4">
                  <c:v>101年(15,102件)</c:v>
                </c:pt>
              </c:strCache>
            </c:strRef>
          </c:cat>
          <c:val>
            <c:numRef>
              <c:f>圖!$S$2:$S$6</c:f>
              <c:numCache>
                <c:formatCode>General</c:formatCode>
                <c:ptCount val="5"/>
                <c:pt idx="0">
                  <c:v>132</c:v>
                </c:pt>
                <c:pt idx="1">
                  <c:v>123</c:v>
                </c:pt>
                <c:pt idx="2">
                  <c:v>163</c:v>
                </c:pt>
                <c:pt idx="3">
                  <c:v>216</c:v>
                </c:pt>
                <c:pt idx="4">
                  <c:v>225</c:v>
                </c:pt>
              </c:numCache>
            </c:numRef>
          </c:val>
        </c:ser>
        <c:ser>
          <c:idx val="17"/>
          <c:order val="17"/>
          <c:tx>
            <c:strRef>
              <c:f>圖!$T$1</c:f>
              <c:strCache>
                <c:ptCount val="1"/>
                <c:pt idx="0">
                  <c:v>上司/下屬</c:v>
                </c:pt>
              </c:strCache>
            </c:strRef>
          </c:tx>
          <c:invertIfNegative val="0"/>
          <c:cat>
            <c:strRef>
              <c:f>圖!$B$2:$B$6</c:f>
              <c:strCache>
                <c:ptCount val="5"/>
                <c:pt idx="0">
                  <c:v> 97年(8,521件)</c:v>
                </c:pt>
                <c:pt idx="1">
                  <c:v> 98年(9,543件)</c:v>
                </c:pt>
                <c:pt idx="2">
                  <c:v> 99年(10,892件)</c:v>
                </c:pt>
                <c:pt idx="3">
                  <c:v>100年(13,686件)</c:v>
                </c:pt>
                <c:pt idx="4">
                  <c:v>101年(15,102件)</c:v>
                </c:pt>
              </c:strCache>
            </c:strRef>
          </c:cat>
          <c:val>
            <c:numRef>
              <c:f>圖!$T$2:$T$6</c:f>
              <c:numCache>
                <c:formatCode>General</c:formatCode>
                <c:ptCount val="5"/>
                <c:pt idx="0">
                  <c:v>226</c:v>
                </c:pt>
                <c:pt idx="1">
                  <c:v>190</c:v>
                </c:pt>
                <c:pt idx="2">
                  <c:v>306</c:v>
                </c:pt>
                <c:pt idx="3">
                  <c:v>243</c:v>
                </c:pt>
                <c:pt idx="4">
                  <c:v>265</c:v>
                </c:pt>
              </c:numCache>
            </c:numRef>
          </c:val>
        </c:ser>
        <c:ser>
          <c:idx val="18"/>
          <c:order val="18"/>
          <c:tx>
            <c:strRef>
              <c:f>圖!$U$1</c:f>
              <c:strCache>
                <c:ptCount val="1"/>
                <c:pt idx="0">
                  <c:v>不認識</c:v>
                </c:pt>
              </c:strCache>
            </c:strRef>
          </c:tx>
          <c:invertIfNegative val="0"/>
          <c:cat>
            <c:strRef>
              <c:f>圖!$B$2:$B$6</c:f>
              <c:strCache>
                <c:ptCount val="5"/>
                <c:pt idx="0">
                  <c:v> 97年(8,521件)</c:v>
                </c:pt>
                <c:pt idx="1">
                  <c:v> 98年(9,543件)</c:v>
                </c:pt>
                <c:pt idx="2">
                  <c:v> 99年(10,892件)</c:v>
                </c:pt>
                <c:pt idx="3">
                  <c:v>100年(13,686件)</c:v>
                </c:pt>
                <c:pt idx="4">
                  <c:v>101年(15,102件)</c:v>
                </c:pt>
              </c:strCache>
            </c:strRef>
          </c:cat>
          <c:val>
            <c:numRef>
              <c:f>圖!$U$2:$U$6</c:f>
              <c:numCache>
                <c:formatCode>General</c:formatCode>
                <c:ptCount val="5"/>
                <c:pt idx="0">
                  <c:v>761</c:v>
                </c:pt>
                <c:pt idx="1">
                  <c:v>772</c:v>
                </c:pt>
                <c:pt idx="2">
                  <c:v>756</c:v>
                </c:pt>
                <c:pt idx="3">
                  <c:v>920</c:v>
                </c:pt>
                <c:pt idx="4">
                  <c:v>915</c:v>
                </c:pt>
              </c:numCache>
            </c:numRef>
          </c:val>
        </c:ser>
        <c:ser>
          <c:idx val="19"/>
          <c:order val="19"/>
          <c:tx>
            <c:strRef>
              <c:f>圖!$V$1</c:f>
              <c:strCache>
                <c:ptCount val="1"/>
                <c:pt idx="0">
                  <c:v>其他</c:v>
                </c:pt>
              </c:strCache>
            </c:strRef>
          </c:tx>
          <c:invertIfNegative val="0"/>
          <c:cat>
            <c:strRef>
              <c:f>圖!$B$2:$B$6</c:f>
              <c:strCache>
                <c:ptCount val="5"/>
                <c:pt idx="0">
                  <c:v> 97年(8,521件)</c:v>
                </c:pt>
                <c:pt idx="1">
                  <c:v> 98年(9,543件)</c:v>
                </c:pt>
                <c:pt idx="2">
                  <c:v> 99年(10,892件)</c:v>
                </c:pt>
                <c:pt idx="3">
                  <c:v>100年(13,686件)</c:v>
                </c:pt>
                <c:pt idx="4">
                  <c:v>101年(15,102件)</c:v>
                </c:pt>
              </c:strCache>
            </c:strRef>
          </c:cat>
          <c:val>
            <c:numRef>
              <c:f>圖!$V$2:$V$6</c:f>
              <c:numCache>
                <c:formatCode>General</c:formatCode>
                <c:ptCount val="5"/>
                <c:pt idx="0">
                  <c:v>1689</c:v>
                </c:pt>
                <c:pt idx="1">
                  <c:v>2089</c:v>
                </c:pt>
                <c:pt idx="2">
                  <c:v>2254</c:v>
                </c:pt>
                <c:pt idx="3">
                  <c:v>2717</c:v>
                </c:pt>
                <c:pt idx="4">
                  <c:v>2812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18710144"/>
        <c:axId val="318711680"/>
      </c:barChart>
      <c:catAx>
        <c:axId val="318710144"/>
        <c:scaling>
          <c:orientation val="minMax"/>
        </c:scaling>
        <c:delete val="0"/>
        <c:axPos val="l"/>
        <c:majorTickMark val="out"/>
        <c:minorTickMark val="none"/>
        <c:tickLblPos val="nextTo"/>
        <c:crossAx val="318711680"/>
        <c:crosses val="autoZero"/>
        <c:auto val="1"/>
        <c:lblAlgn val="ctr"/>
        <c:lblOffset val="100"/>
        <c:noMultiLvlLbl val="0"/>
      </c:catAx>
      <c:valAx>
        <c:axId val="318711680"/>
        <c:scaling>
          <c:orientation val="minMax"/>
          <c:max val="16000"/>
          <c:min val="0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 b="0"/>
                </a:pPr>
                <a:r>
                  <a:rPr lang="zh-TW" altLang="en-US" b="0"/>
                  <a:t>件</a:t>
                </a:r>
              </a:p>
            </c:rich>
          </c:tx>
          <c:layout>
            <c:manualLayout>
              <c:xMode val="edge"/>
              <c:yMode val="edge"/>
              <c:x val="0.95091772764639138"/>
              <c:y val="0.6603856809565471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318710144"/>
        <c:crosses val="autoZero"/>
        <c:crossBetween val="between"/>
        <c:majorUnit val="2000"/>
      </c:valAx>
      <c:spPr>
        <a:noFill/>
        <a:ln>
          <a:noFill/>
        </a:ln>
      </c:spPr>
    </c:plotArea>
    <c:legend>
      <c:legendPos val="b"/>
      <c:layout>
        <c:manualLayout>
          <c:xMode val="edge"/>
          <c:yMode val="edge"/>
          <c:x val="2.7069553805774273E-2"/>
          <c:y val="0.73445975503062122"/>
          <c:w val="0.97086089238845141"/>
          <c:h val="0.23776246719160105"/>
        </c:manualLayout>
      </c:layout>
      <c:overlay val="0"/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>
          <a:latin typeface="Times New Roman" pitchFamily="18" charset="0"/>
          <a:ea typeface="標楷體" pitchFamily="65" charset="-120"/>
          <a:cs typeface="Times New Roman" pitchFamily="18" charset="0"/>
        </a:defRPr>
      </a:pPr>
      <a:endParaRPr lang="zh-TW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2035305482648002"/>
          <c:y val="5.3333333333333337E-2"/>
          <c:w val="0.85418398221055702"/>
          <c:h val="0.6825579199013983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圖!$B$3</c:f>
              <c:strCache>
                <c:ptCount val="1"/>
                <c:pt idx="0">
                  <c:v>合計</c:v>
                </c:pt>
              </c:strCache>
            </c:strRef>
          </c:tx>
          <c:invertIfNegative val="0"/>
          <c:cat>
            <c:strRef>
              <c:f>圖!$A$4:$A$9</c:f>
              <c:strCache>
                <c:ptCount val="5"/>
                <c:pt idx="0">
                  <c:v>97年</c:v>
                </c:pt>
                <c:pt idx="1">
                  <c:v>98年</c:v>
                </c:pt>
                <c:pt idx="2">
                  <c:v>99年</c:v>
                </c:pt>
                <c:pt idx="3">
                  <c:v>100年</c:v>
                </c:pt>
                <c:pt idx="4">
                  <c:v>101年</c:v>
                </c:pt>
              </c:strCache>
            </c:strRef>
          </c:cat>
          <c:val>
            <c:numRef>
              <c:f>圖!$B$4:$B$9</c:f>
            </c:numRef>
          </c:val>
        </c:ser>
        <c:ser>
          <c:idx val="1"/>
          <c:order val="1"/>
          <c:tx>
            <c:strRef>
              <c:f>圖!$C$3</c:f>
              <c:strCache>
                <c:ptCount val="1"/>
                <c:pt idx="0">
                  <c:v>親屬</c:v>
                </c:pt>
              </c:strCache>
            </c:strRef>
          </c:tx>
          <c:invertIfNegative val="0"/>
          <c:cat>
            <c:strRef>
              <c:f>圖!$A$4:$A$9</c:f>
              <c:strCache>
                <c:ptCount val="5"/>
                <c:pt idx="0">
                  <c:v>97年</c:v>
                </c:pt>
                <c:pt idx="1">
                  <c:v>98年</c:v>
                </c:pt>
                <c:pt idx="2">
                  <c:v>99年</c:v>
                </c:pt>
                <c:pt idx="3">
                  <c:v>100年</c:v>
                </c:pt>
                <c:pt idx="4">
                  <c:v>101年</c:v>
                </c:pt>
              </c:strCache>
            </c:strRef>
          </c:cat>
          <c:val>
            <c:numRef>
              <c:f>圖!$C$4:$C$9</c:f>
              <c:numCache>
                <c:formatCode>General</c:formatCode>
                <c:ptCount val="5"/>
                <c:pt idx="0">
                  <c:v>1</c:v>
                </c:pt>
                <c:pt idx="1">
                  <c:v>1</c:v>
                </c:pt>
                <c:pt idx="2">
                  <c:v>4</c:v>
                </c:pt>
                <c:pt idx="3">
                  <c:v>4</c:v>
                </c:pt>
                <c:pt idx="4">
                  <c:v>7</c:v>
                </c:pt>
              </c:numCache>
            </c:numRef>
          </c:val>
        </c:ser>
        <c:ser>
          <c:idx val="2"/>
          <c:order val="2"/>
          <c:tx>
            <c:strRef>
              <c:f>圖!$D$3</c:f>
              <c:strCache>
                <c:ptCount val="1"/>
                <c:pt idx="0">
                  <c:v>朋友</c:v>
                </c:pt>
              </c:strCache>
            </c:strRef>
          </c:tx>
          <c:invertIfNegative val="0"/>
          <c:cat>
            <c:strRef>
              <c:f>圖!$A$4:$A$9</c:f>
              <c:strCache>
                <c:ptCount val="5"/>
                <c:pt idx="0">
                  <c:v>97年</c:v>
                </c:pt>
                <c:pt idx="1">
                  <c:v>98年</c:v>
                </c:pt>
                <c:pt idx="2">
                  <c:v>99年</c:v>
                </c:pt>
                <c:pt idx="3">
                  <c:v>100年</c:v>
                </c:pt>
                <c:pt idx="4">
                  <c:v>101年</c:v>
                </c:pt>
              </c:strCache>
            </c:strRef>
          </c:cat>
          <c:val>
            <c:numRef>
              <c:f>圖!$D$4:$D$9</c:f>
              <c:numCache>
                <c:formatCode>General</c:formatCode>
                <c:ptCount val="5"/>
                <c:pt idx="0">
                  <c:v>9</c:v>
                </c:pt>
                <c:pt idx="1">
                  <c:v>22</c:v>
                </c:pt>
                <c:pt idx="2">
                  <c:v>15</c:v>
                </c:pt>
                <c:pt idx="3">
                  <c:v>32</c:v>
                </c:pt>
                <c:pt idx="4">
                  <c:v>25</c:v>
                </c:pt>
              </c:numCache>
            </c:numRef>
          </c:val>
        </c:ser>
        <c:ser>
          <c:idx val="3"/>
          <c:order val="3"/>
          <c:tx>
            <c:strRef>
              <c:f>圖!$E$3</c:f>
              <c:strCache>
                <c:ptCount val="1"/>
                <c:pt idx="0">
                  <c:v>同事</c:v>
                </c:pt>
              </c:strCache>
            </c:strRef>
          </c:tx>
          <c:invertIfNegative val="0"/>
          <c:cat>
            <c:strRef>
              <c:f>圖!$A$4:$A$9</c:f>
              <c:strCache>
                <c:ptCount val="5"/>
                <c:pt idx="0">
                  <c:v>97年</c:v>
                </c:pt>
                <c:pt idx="1">
                  <c:v>98年</c:v>
                </c:pt>
                <c:pt idx="2">
                  <c:v>99年</c:v>
                </c:pt>
                <c:pt idx="3">
                  <c:v>100年</c:v>
                </c:pt>
                <c:pt idx="4">
                  <c:v>101年</c:v>
                </c:pt>
              </c:strCache>
            </c:strRef>
          </c:cat>
          <c:val>
            <c:numRef>
              <c:f>圖!$E$4:$E$9</c:f>
              <c:numCache>
                <c:formatCode>General</c:formatCode>
                <c:ptCount val="5"/>
                <c:pt idx="0">
                  <c:v>7</c:v>
                </c:pt>
                <c:pt idx="1">
                  <c:v>11</c:v>
                </c:pt>
                <c:pt idx="2">
                  <c:v>12</c:v>
                </c:pt>
                <c:pt idx="3">
                  <c:v>19</c:v>
                </c:pt>
                <c:pt idx="4">
                  <c:v>21</c:v>
                </c:pt>
              </c:numCache>
            </c:numRef>
          </c:val>
        </c:ser>
        <c:ser>
          <c:idx val="4"/>
          <c:order val="4"/>
          <c:tx>
            <c:strRef>
              <c:f>圖!$F$3</c:f>
              <c:strCache>
                <c:ptCount val="1"/>
                <c:pt idx="0">
                  <c:v>網友</c:v>
                </c:pt>
              </c:strCache>
            </c:strRef>
          </c:tx>
          <c:invertIfNegative val="0"/>
          <c:cat>
            <c:strRef>
              <c:f>圖!$A$4:$A$9</c:f>
              <c:strCache>
                <c:ptCount val="5"/>
                <c:pt idx="0">
                  <c:v>97年</c:v>
                </c:pt>
                <c:pt idx="1">
                  <c:v>98年</c:v>
                </c:pt>
                <c:pt idx="2">
                  <c:v>99年</c:v>
                </c:pt>
                <c:pt idx="3">
                  <c:v>100年</c:v>
                </c:pt>
                <c:pt idx="4">
                  <c:v>101年</c:v>
                </c:pt>
              </c:strCache>
            </c:strRef>
          </c:cat>
          <c:val>
            <c:numRef>
              <c:f>圖!$F$4:$F$9</c:f>
              <c:numCache>
                <c:formatCode>General</c:formatCode>
                <c:ptCount val="5"/>
                <c:pt idx="0">
                  <c:v>1</c:v>
                </c:pt>
                <c:pt idx="1">
                  <c:v>3</c:v>
                </c:pt>
                <c:pt idx="2">
                  <c:v>1</c:v>
                </c:pt>
                <c:pt idx="3">
                  <c:v>7</c:v>
                </c:pt>
                <c:pt idx="4">
                  <c:v>6</c:v>
                </c:pt>
              </c:numCache>
            </c:numRef>
          </c:val>
        </c:ser>
        <c:ser>
          <c:idx val="5"/>
          <c:order val="5"/>
          <c:tx>
            <c:strRef>
              <c:f>圖!$G$3</c:f>
              <c:strCache>
                <c:ptCount val="1"/>
                <c:pt idx="0">
                  <c:v>鄰居</c:v>
                </c:pt>
              </c:strCache>
            </c:strRef>
          </c:tx>
          <c:invertIfNegative val="0"/>
          <c:cat>
            <c:strRef>
              <c:f>圖!$A$4:$A$9</c:f>
              <c:strCache>
                <c:ptCount val="5"/>
                <c:pt idx="0">
                  <c:v>97年</c:v>
                </c:pt>
                <c:pt idx="1">
                  <c:v>98年</c:v>
                </c:pt>
                <c:pt idx="2">
                  <c:v>99年</c:v>
                </c:pt>
                <c:pt idx="3">
                  <c:v>100年</c:v>
                </c:pt>
                <c:pt idx="4">
                  <c:v>101年</c:v>
                </c:pt>
              </c:strCache>
            </c:strRef>
          </c:cat>
          <c:val>
            <c:numRef>
              <c:f>圖!$G$4:$G$9</c:f>
              <c:numCache>
                <c:formatCode>General</c:formatCode>
                <c:ptCount val="5"/>
                <c:pt idx="0">
                  <c:v>9</c:v>
                </c:pt>
                <c:pt idx="1">
                  <c:v>7</c:v>
                </c:pt>
                <c:pt idx="2">
                  <c:v>9</c:v>
                </c:pt>
                <c:pt idx="3">
                  <c:v>13</c:v>
                </c:pt>
                <c:pt idx="4">
                  <c:v>14</c:v>
                </c:pt>
              </c:numCache>
            </c:numRef>
          </c:val>
        </c:ser>
        <c:ser>
          <c:idx val="6"/>
          <c:order val="6"/>
          <c:tx>
            <c:strRef>
              <c:f>圖!$H$3</c:f>
              <c:strCache>
                <c:ptCount val="1"/>
                <c:pt idx="0">
                  <c:v>陌生人</c:v>
                </c:pt>
              </c:strCache>
            </c:strRef>
          </c:tx>
          <c:invertIfNegative val="0"/>
          <c:cat>
            <c:strRef>
              <c:f>圖!$A$4:$A$9</c:f>
              <c:strCache>
                <c:ptCount val="5"/>
                <c:pt idx="0">
                  <c:v>97年</c:v>
                </c:pt>
                <c:pt idx="1">
                  <c:v>98年</c:v>
                </c:pt>
                <c:pt idx="2">
                  <c:v>99年</c:v>
                </c:pt>
                <c:pt idx="3">
                  <c:v>100年</c:v>
                </c:pt>
                <c:pt idx="4">
                  <c:v>101年</c:v>
                </c:pt>
              </c:strCache>
            </c:strRef>
          </c:cat>
          <c:val>
            <c:numRef>
              <c:f>圖!$H$4:$H$9</c:f>
              <c:numCache>
                <c:formatCode>General</c:formatCode>
                <c:ptCount val="5"/>
                <c:pt idx="0">
                  <c:v>99</c:v>
                </c:pt>
                <c:pt idx="1">
                  <c:v>126</c:v>
                </c:pt>
                <c:pt idx="2">
                  <c:v>217</c:v>
                </c:pt>
                <c:pt idx="3">
                  <c:v>260</c:v>
                </c:pt>
                <c:pt idx="4">
                  <c:v>221</c:v>
                </c:pt>
              </c:numCache>
            </c:numRef>
          </c:val>
        </c:ser>
        <c:ser>
          <c:idx val="7"/>
          <c:order val="7"/>
          <c:tx>
            <c:strRef>
              <c:f>圖!$I$3</c:f>
              <c:strCache>
                <c:ptCount val="1"/>
                <c:pt idx="0">
                  <c:v>其他(含不詳)</c:v>
                </c:pt>
              </c:strCache>
            </c:strRef>
          </c:tx>
          <c:invertIfNegative val="0"/>
          <c:cat>
            <c:strRef>
              <c:f>圖!$A$4:$A$9</c:f>
              <c:strCache>
                <c:ptCount val="5"/>
                <c:pt idx="0">
                  <c:v>97年</c:v>
                </c:pt>
                <c:pt idx="1">
                  <c:v>98年</c:v>
                </c:pt>
                <c:pt idx="2">
                  <c:v>99年</c:v>
                </c:pt>
                <c:pt idx="3">
                  <c:v>100年</c:v>
                </c:pt>
                <c:pt idx="4">
                  <c:v>101年</c:v>
                </c:pt>
              </c:strCache>
            </c:strRef>
          </c:cat>
          <c:val>
            <c:numRef>
              <c:f>圖!$I$4:$I$9</c:f>
              <c:numCache>
                <c:formatCode>General</c:formatCode>
                <c:ptCount val="5"/>
                <c:pt idx="0">
                  <c:v>20</c:v>
                </c:pt>
                <c:pt idx="1">
                  <c:v>25</c:v>
                </c:pt>
                <c:pt idx="2">
                  <c:v>29</c:v>
                </c:pt>
                <c:pt idx="3">
                  <c:v>32</c:v>
                </c:pt>
                <c:pt idx="4">
                  <c:v>41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29424256"/>
        <c:axId val="330302592"/>
      </c:barChart>
      <c:catAx>
        <c:axId val="329424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30302592"/>
        <c:crosses val="autoZero"/>
        <c:auto val="1"/>
        <c:lblAlgn val="ctr"/>
        <c:lblOffset val="100"/>
        <c:noMultiLvlLbl val="0"/>
      </c:catAx>
      <c:valAx>
        <c:axId val="330302592"/>
        <c:scaling>
          <c:orientation val="minMax"/>
        </c:scaling>
        <c:delete val="0"/>
        <c:axPos val="l"/>
        <c:majorGridlines/>
        <c:title>
          <c:tx>
            <c:rich>
              <a:bodyPr rot="0" vert="wordArtVertRtl"/>
              <a:lstStyle/>
              <a:p>
                <a:pPr>
                  <a:defRPr b="0"/>
                </a:pPr>
                <a:r>
                  <a:rPr lang="zh-TW" b="0"/>
                  <a:t>單位</a:t>
                </a:r>
                <a:r>
                  <a:rPr lang="en-US" b="0"/>
                  <a:t>:</a:t>
                </a:r>
                <a:r>
                  <a:rPr lang="zh-TW" altLang="en-US" b="0"/>
                  <a:t>件</a:t>
                </a:r>
                <a:r>
                  <a:rPr lang="zh-TW" b="0"/>
                  <a:t>數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329424256"/>
        <c:crosses val="autoZero"/>
        <c:crossBetween val="between"/>
      </c:valAx>
      <c:spPr>
        <a:noFill/>
        <a:ln>
          <a:noFill/>
        </a:ln>
      </c:spPr>
    </c:plotArea>
    <c:legend>
      <c:legendPos val="b"/>
      <c:layout>
        <c:manualLayout>
          <c:xMode val="edge"/>
          <c:yMode val="edge"/>
          <c:x val="0.1690505613881598"/>
          <c:y val="0.83464299819319288"/>
          <c:w val="0.78434233034303547"/>
          <c:h val="7.8537839020122485E-2"/>
        </c:manualLayout>
      </c:layout>
      <c:overlay val="0"/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>
          <a:latin typeface="Times New Roman" pitchFamily="18" charset="0"/>
          <a:ea typeface="標楷體" pitchFamily="65" charset="-120"/>
          <a:cs typeface="Times New Roman" pitchFamily="18" charset="0"/>
        </a:defRPr>
      </a:pPr>
      <a:endParaRPr lang="zh-TW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0.19618</cdr:x>
      <cdr:y>0.90138</cdr:y>
    </cdr:from>
    <cdr:to>
      <cdr:x>0.75347</cdr:x>
      <cdr:y>0.99952</cdr:y>
    </cdr:to>
    <cdr:sp macro="" textlink="">
      <cdr:nvSpPr>
        <cdr:cNvPr id="2" name="文字方塊 1"/>
        <cdr:cNvSpPr txBox="1"/>
      </cdr:nvSpPr>
      <cdr:spPr>
        <a:xfrm xmlns:a="http://schemas.openxmlformats.org/drawingml/2006/main">
          <a:off x="1076325" y="2362200"/>
          <a:ext cx="3057525" cy="2571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zh-TW" altLang="en-US" sz="1000">
              <a:latin typeface="標楷體" pitchFamily="65" charset="-120"/>
              <a:ea typeface="標楷體" pitchFamily="65" charset="-120"/>
            </a:rPr>
            <a:t>註：兩造關係為可為複選。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匯合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E27D6-B526-4FB8-92C2-563B6372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14</Pages>
  <Words>972</Words>
  <Characters>5545</Characters>
  <Application>Microsoft Office Word</Application>
  <DocSecurity>0</DocSecurity>
  <Lines>46</Lines>
  <Paragraphs>13</Paragraphs>
  <ScaleCrop>false</ScaleCrop>
  <Company>行政院衛生署</Company>
  <LinksUpToDate>false</LinksUpToDate>
  <CharactersWithSpaces>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柒、經社指標</dc:title>
  <dc:subject>衛生署中英文網站</dc:subject>
  <dc:creator>行政院衛生署</dc:creator>
  <cp:keywords>2011年衛生統計動向</cp:keywords>
  <cp:lastModifiedBy>統計室黃惠芬</cp:lastModifiedBy>
  <cp:revision>11</cp:revision>
  <cp:lastPrinted>2014-02-05T06:04:00Z</cp:lastPrinted>
  <dcterms:created xsi:type="dcterms:W3CDTF">2014-01-29T06:10:00Z</dcterms:created>
  <dcterms:modified xsi:type="dcterms:W3CDTF">2014-05-09T03:59:00Z</dcterms:modified>
  <cp:category>I20</cp:category>
</cp:coreProperties>
</file>